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rPr>
          <w:rFonts w:ascii="Times New Roman"/>
          <w:sz w:val="20"/>
        </w:rPr>
      </w:pPr>
    </w:p>
    <w:p>
      <w:pPr>
        <w:pStyle w:val="Heading1"/>
        <w:spacing w:before="230" w:after="19"/>
        <w:rPr>
          <w:i/>
        </w:rPr>
      </w:pPr>
      <w:r>
        <w:rPr>
          <w:i/>
        </w:rPr>
        <w:t>Partie 1- GÉNÉRALITÉS</w:t>
      </w:r>
    </w:p>
    <w:p>
      <w:pPr>
        <w:pStyle w:val="BodyText"/>
        <w:spacing w:line="20" w:lineRule="exact"/>
        <w:ind w:left="111"/>
        <w:rPr>
          <w:sz w:val="2"/>
        </w:rPr>
      </w:pPr>
      <w:r>
        <w:rPr>
          <w:sz w:val="2"/>
        </w:rPr>
        <w:pict>
          <v:group style="width:473.3pt;height:.5pt;mso-position-horizontal-relative:char;mso-position-vertical-relative:line" coordorigin="0,0" coordsize="9466,10">
            <v:line style="position:absolute" from="0,5" to="9466,5" stroked="true" strokeweight=".48pt" strokecolor="#000000">
              <v:stroke dashstyle="solid"/>
            </v:line>
          </v:group>
        </w:pict>
      </w:r>
      <w:r>
        <w:rPr>
          <w:sz w:val="2"/>
        </w:rPr>
      </w:r>
    </w:p>
    <w:p>
      <w:pPr>
        <w:pStyle w:val="Heading2"/>
        <w:numPr>
          <w:ilvl w:val="1"/>
          <w:numId w:val="1"/>
        </w:numPr>
        <w:tabs>
          <w:tab w:pos="711" w:val="left" w:leader="none"/>
          <w:tab w:pos="712" w:val="left" w:leader="none"/>
        </w:tabs>
        <w:spacing w:line="240" w:lineRule="auto" w:before="187" w:after="0"/>
        <w:ind w:left="711" w:right="0" w:hanging="566"/>
        <w:jc w:val="left"/>
      </w:pPr>
      <w:r>
        <w:rPr/>
        <w:t>RÉFÉRENCES</w:t>
      </w:r>
    </w:p>
    <w:p>
      <w:pPr>
        <w:pStyle w:val="ListParagraph"/>
        <w:numPr>
          <w:ilvl w:val="2"/>
          <w:numId w:val="1"/>
        </w:numPr>
        <w:tabs>
          <w:tab w:pos="631" w:val="left" w:leader="none"/>
        </w:tabs>
        <w:spacing w:line="240" w:lineRule="auto" w:before="198" w:after="0"/>
        <w:ind w:left="630" w:right="0" w:hanging="442"/>
        <w:jc w:val="left"/>
        <w:rPr>
          <w:sz w:val="16"/>
        </w:rPr>
      </w:pPr>
      <w:r>
        <w:rPr>
          <w:sz w:val="16"/>
        </w:rPr>
        <w:t>American Society for Testing and Materials (ASTM</w:t>
      </w:r>
      <w:r>
        <w:rPr>
          <w:spacing w:val="15"/>
          <w:sz w:val="16"/>
        </w:rPr>
        <w:t> </w:t>
      </w:r>
      <w:r>
        <w:rPr>
          <w:sz w:val="16"/>
        </w:rPr>
        <w:t>International).</w:t>
      </w:r>
    </w:p>
    <w:p>
      <w:pPr>
        <w:pStyle w:val="BodyText"/>
        <w:spacing w:before="1"/>
      </w:pPr>
    </w:p>
    <w:p>
      <w:pPr>
        <w:pStyle w:val="ListParagraph"/>
        <w:numPr>
          <w:ilvl w:val="3"/>
          <w:numId w:val="1"/>
        </w:numPr>
        <w:tabs>
          <w:tab w:pos="865" w:val="left" w:leader="none"/>
          <w:tab w:pos="866" w:val="left" w:leader="none"/>
          <w:tab w:pos="3375" w:val="left" w:leader="none"/>
          <w:tab w:pos="5074" w:val="left" w:leader="none"/>
          <w:tab w:pos="6836" w:val="left" w:leader="none"/>
          <w:tab w:pos="8924" w:val="left" w:leader="none"/>
        </w:tabs>
        <w:spacing w:line="240" w:lineRule="auto" w:before="0" w:after="0"/>
        <w:ind w:left="865" w:right="151" w:hanging="360"/>
        <w:jc w:val="left"/>
        <w:rPr>
          <w:sz w:val="16"/>
        </w:rPr>
      </w:pPr>
      <w:r>
        <w:rPr>
          <w:sz w:val="16"/>
        </w:rPr>
        <w:t>ASTM A 653/A653M- Standard Specification for Steel Sheet, Zinc-Coated (Galvanized) or Zinc-Iron Alloy-Coated (Galvanized)</w:t>
        <w:tab/>
        <w:t>by</w:t>
        <w:tab/>
        <w:t>the</w:t>
        <w:tab/>
        <w:t>Hot-Dip</w:t>
        <w:tab/>
      </w:r>
      <w:r>
        <w:rPr>
          <w:w w:val="95"/>
          <w:sz w:val="16"/>
        </w:rPr>
        <w:t>Process.</w:t>
      </w:r>
    </w:p>
    <w:p>
      <w:pPr>
        <w:pStyle w:val="BodyText"/>
        <w:rPr>
          <w:sz w:val="15"/>
        </w:rPr>
      </w:pPr>
    </w:p>
    <w:p>
      <w:pPr>
        <w:pStyle w:val="ListParagraph"/>
        <w:numPr>
          <w:ilvl w:val="3"/>
          <w:numId w:val="1"/>
        </w:numPr>
        <w:tabs>
          <w:tab w:pos="865" w:val="left" w:leader="none"/>
          <w:tab w:pos="866" w:val="left" w:leader="none"/>
        </w:tabs>
        <w:spacing w:line="240" w:lineRule="auto" w:before="0" w:after="0"/>
        <w:ind w:left="865" w:right="150" w:hanging="360"/>
        <w:jc w:val="left"/>
        <w:rPr>
          <w:sz w:val="16"/>
        </w:rPr>
      </w:pPr>
      <w:r>
        <w:rPr>
          <w:sz w:val="16"/>
        </w:rPr>
        <w:t>ASTM D5796- Standard Test Method for Measurement of Dry Film Thickness of Thin-Film Coil-Coated Systems by Destructive Means Using a Boring</w:t>
      </w:r>
      <w:r>
        <w:rPr>
          <w:spacing w:val="-6"/>
          <w:sz w:val="16"/>
        </w:rPr>
        <w:t> </w:t>
      </w:r>
      <w:r>
        <w:rPr>
          <w:sz w:val="16"/>
        </w:rPr>
        <w:t>Device.</w:t>
      </w:r>
    </w:p>
    <w:p>
      <w:pPr>
        <w:pStyle w:val="BodyText"/>
        <w:spacing w:before="9"/>
        <w:rPr>
          <w:sz w:val="15"/>
        </w:rPr>
      </w:pPr>
    </w:p>
    <w:p>
      <w:pPr>
        <w:pStyle w:val="ListParagraph"/>
        <w:numPr>
          <w:ilvl w:val="3"/>
          <w:numId w:val="1"/>
        </w:numPr>
        <w:tabs>
          <w:tab w:pos="865" w:val="left" w:leader="none"/>
          <w:tab w:pos="866" w:val="left" w:leader="none"/>
        </w:tabs>
        <w:spacing w:line="240" w:lineRule="auto" w:before="0" w:after="0"/>
        <w:ind w:left="865" w:right="149" w:hanging="360"/>
        <w:jc w:val="left"/>
        <w:rPr>
          <w:sz w:val="16"/>
        </w:rPr>
      </w:pPr>
      <w:r>
        <w:rPr>
          <w:sz w:val="16"/>
        </w:rPr>
        <w:t>ASTM D5402- Standard Practice for Assessing the Solvent Resistance of Organic Coatings Using Solvent Rubs, coating, curing characteristics, double rub</w:t>
      </w:r>
      <w:r>
        <w:rPr>
          <w:spacing w:val="-2"/>
          <w:sz w:val="16"/>
        </w:rPr>
        <w:t> </w:t>
      </w:r>
      <w:r>
        <w:rPr>
          <w:sz w:val="16"/>
        </w:rPr>
        <w:t>method.</w:t>
      </w:r>
    </w:p>
    <w:p>
      <w:pPr>
        <w:pStyle w:val="BodyText"/>
        <w:spacing w:before="2"/>
      </w:pPr>
    </w:p>
    <w:p>
      <w:pPr>
        <w:pStyle w:val="ListParagraph"/>
        <w:numPr>
          <w:ilvl w:val="3"/>
          <w:numId w:val="1"/>
        </w:numPr>
        <w:tabs>
          <w:tab w:pos="908" w:val="left" w:leader="none"/>
          <w:tab w:pos="909" w:val="left" w:leader="none"/>
        </w:tabs>
        <w:spacing w:line="240" w:lineRule="auto" w:before="0" w:after="0"/>
        <w:ind w:left="865" w:right="736" w:hanging="360"/>
        <w:jc w:val="left"/>
        <w:rPr>
          <w:sz w:val="16"/>
        </w:rPr>
      </w:pPr>
      <w:r>
        <w:rPr>
          <w:sz w:val="16"/>
        </w:rPr>
        <w:t>ASTM</w:t>
      </w:r>
      <w:r>
        <w:rPr>
          <w:spacing w:val="-2"/>
          <w:sz w:val="16"/>
        </w:rPr>
        <w:t> </w:t>
      </w:r>
      <w:r>
        <w:rPr>
          <w:sz w:val="16"/>
        </w:rPr>
        <w:t>D523-</w:t>
      </w:r>
      <w:r>
        <w:rPr>
          <w:spacing w:val="-5"/>
          <w:sz w:val="16"/>
        </w:rPr>
        <w:t> </w:t>
      </w:r>
      <w:r>
        <w:rPr>
          <w:sz w:val="16"/>
        </w:rPr>
        <w:t>[Standard</w:t>
      </w:r>
      <w:r>
        <w:rPr>
          <w:spacing w:val="-4"/>
          <w:sz w:val="16"/>
        </w:rPr>
        <w:t> </w:t>
      </w:r>
      <w:r>
        <w:rPr>
          <w:sz w:val="16"/>
        </w:rPr>
        <w:t>Test</w:t>
      </w:r>
      <w:r>
        <w:rPr>
          <w:spacing w:val="-2"/>
          <w:sz w:val="16"/>
        </w:rPr>
        <w:t> </w:t>
      </w:r>
      <w:r>
        <w:rPr>
          <w:sz w:val="16"/>
        </w:rPr>
        <w:t>Method</w:t>
      </w:r>
      <w:r>
        <w:rPr>
          <w:spacing w:val="-4"/>
          <w:sz w:val="16"/>
        </w:rPr>
        <w:t> </w:t>
      </w:r>
      <w:r>
        <w:rPr>
          <w:sz w:val="16"/>
        </w:rPr>
        <w:t>for</w:t>
      </w:r>
      <w:r>
        <w:rPr>
          <w:spacing w:val="-5"/>
          <w:sz w:val="16"/>
        </w:rPr>
        <w:t> </w:t>
      </w:r>
      <w:r>
        <w:rPr>
          <w:sz w:val="16"/>
        </w:rPr>
        <w:t>specular</w:t>
      </w:r>
      <w:r>
        <w:rPr>
          <w:spacing w:val="-5"/>
          <w:sz w:val="16"/>
        </w:rPr>
        <w:t> </w:t>
      </w:r>
      <w:r>
        <w:rPr>
          <w:sz w:val="16"/>
        </w:rPr>
        <w:t>gloss,</w:t>
      </w:r>
      <w:r>
        <w:rPr>
          <w:spacing w:val="-6"/>
          <w:sz w:val="16"/>
        </w:rPr>
        <w:t> </w:t>
      </w:r>
      <w:r>
        <w:rPr>
          <w:sz w:val="16"/>
        </w:rPr>
        <w:t>appearance,</w:t>
      </w:r>
      <w:r>
        <w:rPr>
          <w:spacing w:val="-6"/>
          <w:sz w:val="16"/>
        </w:rPr>
        <w:t> </w:t>
      </w:r>
      <w:r>
        <w:rPr>
          <w:sz w:val="16"/>
        </w:rPr>
        <w:t>directional</w:t>
      </w:r>
      <w:r>
        <w:rPr>
          <w:spacing w:val="-4"/>
          <w:sz w:val="16"/>
        </w:rPr>
        <w:t> </w:t>
      </w:r>
      <w:r>
        <w:rPr>
          <w:sz w:val="16"/>
        </w:rPr>
        <w:t>reflectance</w:t>
      </w:r>
      <w:r>
        <w:rPr>
          <w:spacing w:val="-3"/>
          <w:sz w:val="16"/>
        </w:rPr>
        <w:t> </w:t>
      </w:r>
      <w:r>
        <w:rPr>
          <w:sz w:val="16"/>
        </w:rPr>
        <w:t>factor,</w:t>
      </w:r>
      <w:r>
        <w:rPr>
          <w:spacing w:val="-6"/>
          <w:sz w:val="16"/>
        </w:rPr>
        <w:t> </w:t>
      </w:r>
      <w:r>
        <w:rPr>
          <w:sz w:val="16"/>
        </w:rPr>
        <w:t>gloss, goniophotometry, high gloss,</w:t>
      </w:r>
      <w:r>
        <w:rPr>
          <w:spacing w:val="1"/>
          <w:sz w:val="16"/>
        </w:rPr>
        <w:t> </w:t>
      </w:r>
      <w:r>
        <w:rPr>
          <w:sz w:val="16"/>
        </w:rPr>
        <w:t>relative.</w:t>
      </w:r>
    </w:p>
    <w:p>
      <w:pPr>
        <w:pStyle w:val="BodyText"/>
        <w:spacing w:before="5"/>
      </w:pPr>
    </w:p>
    <w:p>
      <w:pPr>
        <w:pStyle w:val="ListParagraph"/>
        <w:numPr>
          <w:ilvl w:val="3"/>
          <w:numId w:val="1"/>
        </w:numPr>
        <w:tabs>
          <w:tab w:pos="865" w:val="left" w:leader="none"/>
          <w:tab w:pos="866" w:val="left" w:leader="none"/>
        </w:tabs>
        <w:spacing w:line="235" w:lineRule="auto" w:before="0" w:after="0"/>
        <w:ind w:left="865" w:right="405" w:hanging="360"/>
        <w:jc w:val="left"/>
        <w:rPr>
          <w:sz w:val="16"/>
        </w:rPr>
      </w:pPr>
      <w:r>
        <w:rPr>
          <w:sz w:val="16"/>
        </w:rPr>
        <w:t>ASTM</w:t>
      </w:r>
      <w:r>
        <w:rPr>
          <w:spacing w:val="-3"/>
          <w:sz w:val="16"/>
        </w:rPr>
        <w:t> </w:t>
      </w:r>
      <w:r>
        <w:rPr>
          <w:sz w:val="16"/>
        </w:rPr>
        <w:t>D4145-</w:t>
      </w:r>
      <w:r>
        <w:rPr>
          <w:spacing w:val="-2"/>
          <w:sz w:val="16"/>
        </w:rPr>
        <w:t> </w:t>
      </w:r>
      <w:r>
        <w:rPr>
          <w:sz w:val="16"/>
        </w:rPr>
        <w:t>Standard</w:t>
      </w:r>
      <w:r>
        <w:rPr>
          <w:spacing w:val="-5"/>
          <w:sz w:val="16"/>
        </w:rPr>
        <w:t> </w:t>
      </w:r>
      <w:r>
        <w:rPr>
          <w:sz w:val="16"/>
        </w:rPr>
        <w:t>Test</w:t>
      </w:r>
      <w:r>
        <w:rPr>
          <w:spacing w:val="-8"/>
          <w:sz w:val="16"/>
        </w:rPr>
        <w:t> </w:t>
      </w:r>
      <w:r>
        <w:rPr>
          <w:sz w:val="16"/>
        </w:rPr>
        <w:t>Method</w:t>
      </w:r>
      <w:r>
        <w:rPr>
          <w:spacing w:val="-1"/>
          <w:sz w:val="16"/>
        </w:rPr>
        <w:t> </w:t>
      </w:r>
      <w:r>
        <w:rPr>
          <w:sz w:val="16"/>
        </w:rPr>
        <w:t>for</w:t>
      </w:r>
      <w:r>
        <w:rPr>
          <w:spacing w:val="-6"/>
          <w:sz w:val="16"/>
        </w:rPr>
        <w:t> </w:t>
      </w:r>
      <w:r>
        <w:rPr>
          <w:sz w:val="16"/>
        </w:rPr>
        <w:t>Coating</w:t>
      </w:r>
      <w:r>
        <w:rPr>
          <w:spacing w:val="-8"/>
          <w:sz w:val="16"/>
        </w:rPr>
        <w:t> </w:t>
      </w:r>
      <w:r>
        <w:rPr>
          <w:sz w:val="16"/>
        </w:rPr>
        <w:t>Flexibility</w:t>
      </w:r>
      <w:r>
        <w:rPr>
          <w:spacing w:val="-5"/>
          <w:sz w:val="16"/>
        </w:rPr>
        <w:t> </w:t>
      </w:r>
      <w:r>
        <w:rPr>
          <w:sz w:val="16"/>
        </w:rPr>
        <w:t>of</w:t>
      </w:r>
      <w:r>
        <w:rPr>
          <w:spacing w:val="-8"/>
          <w:sz w:val="16"/>
        </w:rPr>
        <w:t> </w:t>
      </w:r>
      <w:r>
        <w:rPr>
          <w:sz w:val="16"/>
        </w:rPr>
        <w:t>pre-painted</w:t>
      </w:r>
      <w:r>
        <w:rPr>
          <w:spacing w:val="-5"/>
          <w:sz w:val="16"/>
        </w:rPr>
        <w:t> </w:t>
      </w:r>
      <w:r>
        <w:rPr>
          <w:sz w:val="16"/>
        </w:rPr>
        <w:t>Sheet,</w:t>
      </w:r>
      <w:r>
        <w:rPr>
          <w:spacing w:val="-2"/>
          <w:sz w:val="16"/>
        </w:rPr>
        <w:t> </w:t>
      </w:r>
      <w:r>
        <w:rPr>
          <w:sz w:val="16"/>
        </w:rPr>
        <w:t>coating</w:t>
      </w:r>
      <w:r>
        <w:rPr>
          <w:spacing w:val="-3"/>
          <w:sz w:val="16"/>
        </w:rPr>
        <w:t> </w:t>
      </w:r>
      <w:r>
        <w:rPr>
          <w:sz w:val="16"/>
        </w:rPr>
        <w:t>flexibility,</w:t>
      </w:r>
      <w:r>
        <w:rPr>
          <w:spacing w:val="-7"/>
          <w:sz w:val="16"/>
        </w:rPr>
        <w:t> </w:t>
      </w:r>
      <w:r>
        <w:rPr>
          <w:sz w:val="16"/>
        </w:rPr>
        <w:t>pre-painted sheet, T-bend flexibility, pre-painted steel</w:t>
      </w:r>
      <w:r>
        <w:rPr>
          <w:spacing w:val="3"/>
          <w:sz w:val="16"/>
        </w:rPr>
        <w:t> </w:t>
      </w:r>
      <w:r>
        <w:rPr>
          <w:sz w:val="16"/>
        </w:rPr>
        <w:t>sheet.</w:t>
      </w:r>
    </w:p>
    <w:p>
      <w:pPr>
        <w:pStyle w:val="BodyText"/>
        <w:spacing w:before="2"/>
      </w:pPr>
    </w:p>
    <w:p>
      <w:pPr>
        <w:pStyle w:val="ListParagraph"/>
        <w:numPr>
          <w:ilvl w:val="3"/>
          <w:numId w:val="1"/>
        </w:numPr>
        <w:tabs>
          <w:tab w:pos="908" w:val="left" w:leader="none"/>
          <w:tab w:pos="909" w:val="left" w:leader="none"/>
        </w:tabs>
        <w:spacing w:line="240" w:lineRule="auto" w:before="0" w:after="0"/>
        <w:ind w:left="865" w:right="605" w:hanging="360"/>
        <w:jc w:val="left"/>
        <w:rPr>
          <w:sz w:val="16"/>
        </w:rPr>
      </w:pPr>
      <w:r>
        <w:rPr>
          <w:sz w:val="16"/>
        </w:rPr>
        <w:t>ASTM</w:t>
      </w:r>
      <w:r>
        <w:rPr>
          <w:spacing w:val="-1"/>
          <w:sz w:val="16"/>
        </w:rPr>
        <w:t> </w:t>
      </w:r>
      <w:r>
        <w:rPr>
          <w:sz w:val="16"/>
        </w:rPr>
        <w:t>D4214- Standard</w:t>
      </w:r>
      <w:r>
        <w:rPr>
          <w:spacing w:val="-3"/>
          <w:sz w:val="16"/>
        </w:rPr>
        <w:t> </w:t>
      </w:r>
      <w:r>
        <w:rPr>
          <w:sz w:val="16"/>
        </w:rPr>
        <w:t>Test</w:t>
      </w:r>
      <w:r>
        <w:rPr>
          <w:spacing w:val="-6"/>
          <w:sz w:val="16"/>
        </w:rPr>
        <w:t> </w:t>
      </w:r>
      <w:r>
        <w:rPr>
          <w:sz w:val="16"/>
        </w:rPr>
        <w:t>Methods</w:t>
      </w:r>
      <w:r>
        <w:rPr>
          <w:spacing w:val="0"/>
          <w:sz w:val="16"/>
        </w:rPr>
        <w:t> </w:t>
      </w:r>
      <w:r>
        <w:rPr>
          <w:sz w:val="16"/>
        </w:rPr>
        <w:t>for</w:t>
      </w:r>
      <w:r>
        <w:rPr>
          <w:spacing w:val="-4"/>
          <w:sz w:val="16"/>
        </w:rPr>
        <w:t> </w:t>
      </w:r>
      <w:r>
        <w:rPr>
          <w:sz w:val="16"/>
        </w:rPr>
        <w:t>Evaluating</w:t>
      </w:r>
      <w:r>
        <w:rPr>
          <w:spacing w:val="-1"/>
          <w:sz w:val="16"/>
        </w:rPr>
        <w:t> </w:t>
      </w:r>
      <w:r>
        <w:rPr>
          <w:sz w:val="16"/>
        </w:rPr>
        <w:t>the</w:t>
      </w:r>
      <w:r>
        <w:rPr>
          <w:spacing w:val="-7"/>
          <w:sz w:val="16"/>
        </w:rPr>
        <w:t> </w:t>
      </w:r>
      <w:r>
        <w:rPr>
          <w:sz w:val="16"/>
        </w:rPr>
        <w:t>Degree</w:t>
      </w:r>
      <w:r>
        <w:rPr>
          <w:spacing w:val="-2"/>
          <w:sz w:val="16"/>
        </w:rPr>
        <w:t> </w:t>
      </w:r>
      <w:r>
        <w:rPr>
          <w:sz w:val="16"/>
        </w:rPr>
        <w:t>of</w:t>
      </w:r>
      <w:r>
        <w:rPr>
          <w:spacing w:val="-6"/>
          <w:sz w:val="16"/>
        </w:rPr>
        <w:t> </w:t>
      </w:r>
      <w:r>
        <w:rPr>
          <w:sz w:val="16"/>
        </w:rPr>
        <w:t>Chalking</w:t>
      </w:r>
      <w:r>
        <w:rPr>
          <w:spacing w:val="-6"/>
          <w:sz w:val="16"/>
        </w:rPr>
        <w:t> </w:t>
      </w:r>
      <w:r>
        <w:rPr>
          <w:sz w:val="16"/>
        </w:rPr>
        <w:t>of</w:t>
      </w:r>
      <w:r>
        <w:rPr>
          <w:spacing w:val="-6"/>
          <w:sz w:val="16"/>
        </w:rPr>
        <w:t> </w:t>
      </w:r>
      <w:r>
        <w:rPr>
          <w:sz w:val="16"/>
        </w:rPr>
        <w:t>Exterior</w:t>
      </w:r>
      <w:r>
        <w:rPr>
          <w:spacing w:val="-4"/>
          <w:sz w:val="16"/>
        </w:rPr>
        <w:t> </w:t>
      </w:r>
      <w:r>
        <w:rPr>
          <w:sz w:val="16"/>
        </w:rPr>
        <w:t>Paint</w:t>
      </w:r>
      <w:r>
        <w:rPr>
          <w:spacing w:val="-6"/>
          <w:sz w:val="16"/>
        </w:rPr>
        <w:t> </w:t>
      </w:r>
      <w:r>
        <w:rPr>
          <w:sz w:val="16"/>
        </w:rPr>
        <w:t>Films, chalking, evaluation, exterior paint</w:t>
      </w:r>
      <w:r>
        <w:rPr>
          <w:spacing w:val="-1"/>
          <w:sz w:val="16"/>
        </w:rPr>
        <w:t> </w:t>
      </w:r>
      <w:r>
        <w:rPr>
          <w:sz w:val="16"/>
        </w:rPr>
        <w:t>films.</w:t>
      </w:r>
    </w:p>
    <w:p>
      <w:pPr>
        <w:pStyle w:val="BodyText"/>
        <w:spacing w:before="2"/>
      </w:pPr>
    </w:p>
    <w:p>
      <w:pPr>
        <w:pStyle w:val="ListParagraph"/>
        <w:numPr>
          <w:ilvl w:val="3"/>
          <w:numId w:val="1"/>
        </w:numPr>
        <w:tabs>
          <w:tab w:pos="908" w:val="left" w:leader="none"/>
          <w:tab w:pos="909" w:val="left" w:leader="none"/>
        </w:tabs>
        <w:spacing w:line="240" w:lineRule="auto" w:before="0" w:after="0"/>
        <w:ind w:left="908" w:right="0" w:hanging="403"/>
        <w:jc w:val="left"/>
        <w:rPr>
          <w:sz w:val="16"/>
        </w:rPr>
      </w:pPr>
      <w:r>
        <w:rPr>
          <w:sz w:val="16"/>
        </w:rPr>
        <w:t>ASTM E330– Standard Test Method for Structural Performance by Static Pressure</w:t>
      </w:r>
      <w:r>
        <w:rPr>
          <w:spacing w:val="-3"/>
          <w:sz w:val="16"/>
        </w:rPr>
        <w:t> </w:t>
      </w:r>
      <w:r>
        <w:rPr>
          <w:sz w:val="16"/>
        </w:rPr>
        <w:t>Difference.</w:t>
      </w:r>
    </w:p>
    <w:p>
      <w:pPr>
        <w:pStyle w:val="BodyText"/>
        <w:spacing w:before="4"/>
      </w:pPr>
    </w:p>
    <w:p>
      <w:pPr>
        <w:pStyle w:val="ListParagraph"/>
        <w:numPr>
          <w:ilvl w:val="3"/>
          <w:numId w:val="1"/>
        </w:numPr>
        <w:tabs>
          <w:tab w:pos="865" w:val="left" w:leader="none"/>
          <w:tab w:pos="866" w:val="left" w:leader="none"/>
        </w:tabs>
        <w:spacing w:line="235" w:lineRule="auto" w:before="0" w:after="0"/>
        <w:ind w:left="865" w:right="672" w:hanging="360"/>
        <w:jc w:val="left"/>
        <w:rPr>
          <w:sz w:val="16"/>
        </w:rPr>
      </w:pPr>
      <w:r>
        <w:rPr>
          <w:sz w:val="16"/>
        </w:rPr>
        <w:t>ASTM</w:t>
      </w:r>
      <w:r>
        <w:rPr>
          <w:spacing w:val="-4"/>
          <w:sz w:val="16"/>
        </w:rPr>
        <w:t> </w:t>
      </w:r>
      <w:r>
        <w:rPr>
          <w:sz w:val="16"/>
        </w:rPr>
        <w:t>G26-</w:t>
      </w:r>
      <w:r>
        <w:rPr>
          <w:spacing w:val="-3"/>
          <w:sz w:val="16"/>
        </w:rPr>
        <w:t> </w:t>
      </w:r>
      <w:r>
        <w:rPr>
          <w:sz w:val="16"/>
        </w:rPr>
        <w:t>Practice</w:t>
      </w:r>
      <w:r>
        <w:rPr>
          <w:spacing w:val="-5"/>
          <w:sz w:val="16"/>
        </w:rPr>
        <w:t> </w:t>
      </w:r>
      <w:r>
        <w:rPr>
          <w:sz w:val="16"/>
        </w:rPr>
        <w:t>for</w:t>
      </w:r>
      <w:r>
        <w:rPr>
          <w:spacing w:val="-7"/>
          <w:sz w:val="16"/>
        </w:rPr>
        <w:t> </w:t>
      </w:r>
      <w:r>
        <w:rPr>
          <w:sz w:val="16"/>
        </w:rPr>
        <w:t>Operating</w:t>
      </w:r>
      <w:r>
        <w:rPr>
          <w:spacing w:val="-4"/>
          <w:sz w:val="16"/>
        </w:rPr>
        <w:t> </w:t>
      </w:r>
      <w:r>
        <w:rPr>
          <w:sz w:val="16"/>
        </w:rPr>
        <w:t>Light-Exposure</w:t>
      </w:r>
      <w:r>
        <w:rPr>
          <w:spacing w:val="-5"/>
          <w:sz w:val="16"/>
        </w:rPr>
        <w:t> </w:t>
      </w:r>
      <w:r>
        <w:rPr>
          <w:sz w:val="16"/>
        </w:rPr>
        <w:t>Apparatus</w:t>
      </w:r>
      <w:r>
        <w:rPr>
          <w:spacing w:val="-7"/>
          <w:sz w:val="16"/>
        </w:rPr>
        <w:t> </w:t>
      </w:r>
      <w:r>
        <w:rPr>
          <w:sz w:val="16"/>
        </w:rPr>
        <w:t>(Xenon-Arc</w:t>
      </w:r>
      <w:r>
        <w:rPr>
          <w:spacing w:val="-5"/>
          <w:sz w:val="16"/>
        </w:rPr>
        <w:t> </w:t>
      </w:r>
      <w:r>
        <w:rPr>
          <w:sz w:val="16"/>
        </w:rPr>
        <w:t>Type)</w:t>
      </w:r>
      <w:r>
        <w:rPr>
          <w:spacing w:val="0"/>
          <w:sz w:val="16"/>
        </w:rPr>
        <w:t> </w:t>
      </w:r>
      <w:r>
        <w:rPr>
          <w:sz w:val="16"/>
        </w:rPr>
        <w:t>With</w:t>
      </w:r>
      <w:r>
        <w:rPr>
          <w:spacing w:val="-7"/>
          <w:sz w:val="16"/>
        </w:rPr>
        <w:t> </w:t>
      </w:r>
      <w:r>
        <w:rPr>
          <w:sz w:val="16"/>
        </w:rPr>
        <w:t>and</w:t>
      </w:r>
      <w:r>
        <w:rPr>
          <w:spacing w:val="-1"/>
          <w:sz w:val="16"/>
        </w:rPr>
        <w:t> </w:t>
      </w:r>
      <w:r>
        <w:rPr>
          <w:sz w:val="16"/>
        </w:rPr>
        <w:t>Without</w:t>
      </w:r>
      <w:r>
        <w:rPr>
          <w:spacing w:val="-4"/>
          <w:sz w:val="16"/>
        </w:rPr>
        <w:t> </w:t>
      </w:r>
      <w:r>
        <w:rPr>
          <w:sz w:val="16"/>
        </w:rPr>
        <w:t>Water</w:t>
      </w:r>
      <w:r>
        <w:rPr>
          <w:spacing w:val="-2"/>
          <w:sz w:val="16"/>
        </w:rPr>
        <w:t> </w:t>
      </w:r>
      <w:r>
        <w:rPr>
          <w:sz w:val="16"/>
        </w:rPr>
        <w:t>for Exposure of Nonmetallic</w:t>
      </w:r>
      <w:r>
        <w:rPr>
          <w:spacing w:val="-3"/>
          <w:sz w:val="16"/>
        </w:rPr>
        <w:t> </w:t>
      </w:r>
      <w:r>
        <w:rPr>
          <w:sz w:val="16"/>
        </w:rPr>
        <w:t>Materials.</w:t>
      </w:r>
    </w:p>
    <w:p>
      <w:pPr>
        <w:pStyle w:val="BodyText"/>
        <w:rPr>
          <w:sz w:val="18"/>
        </w:rPr>
      </w:pPr>
    </w:p>
    <w:p>
      <w:pPr>
        <w:pStyle w:val="BodyText"/>
        <w:spacing w:before="2"/>
        <w:rPr>
          <w:sz w:val="14"/>
        </w:rPr>
      </w:pPr>
    </w:p>
    <w:p>
      <w:pPr>
        <w:pStyle w:val="BodyText"/>
        <w:tabs>
          <w:tab w:pos="927" w:val="left" w:leader="none"/>
        </w:tabs>
        <w:spacing w:before="1"/>
        <w:ind w:left="207"/>
      </w:pPr>
      <w:r>
        <w:rPr/>
        <w:t>1.1.2</w:t>
        <w:tab/>
        <w:t>American National Standards Institute</w:t>
      </w:r>
      <w:r>
        <w:rPr>
          <w:spacing w:val="1"/>
        </w:rPr>
        <w:t> </w:t>
      </w:r>
      <w:r>
        <w:rPr/>
        <w:t>(ANSI)</w:t>
      </w:r>
    </w:p>
    <w:p>
      <w:pPr>
        <w:pStyle w:val="BodyText"/>
        <w:spacing w:before="1"/>
      </w:pPr>
    </w:p>
    <w:p>
      <w:pPr>
        <w:pStyle w:val="ListParagraph"/>
        <w:numPr>
          <w:ilvl w:val="0"/>
          <w:numId w:val="2"/>
        </w:numPr>
        <w:tabs>
          <w:tab w:pos="865" w:val="left" w:leader="none"/>
          <w:tab w:pos="866" w:val="left" w:leader="none"/>
        </w:tabs>
        <w:spacing w:line="240" w:lineRule="auto" w:before="0" w:after="0"/>
        <w:ind w:left="865" w:right="0" w:hanging="360"/>
        <w:jc w:val="left"/>
        <w:rPr>
          <w:sz w:val="16"/>
        </w:rPr>
      </w:pPr>
      <w:r>
        <w:rPr>
          <w:sz w:val="16"/>
        </w:rPr>
        <w:t>ANSI B18.6.4-[99], Thread Forming and Thread Cutting Screws and Metallic Drive</w:t>
      </w:r>
      <w:r>
        <w:rPr>
          <w:spacing w:val="-14"/>
          <w:sz w:val="16"/>
        </w:rPr>
        <w:t> </w:t>
      </w:r>
      <w:r>
        <w:rPr>
          <w:sz w:val="16"/>
        </w:rPr>
        <w:t>Screws.</w:t>
      </w:r>
    </w:p>
    <w:p>
      <w:pPr>
        <w:pStyle w:val="BodyText"/>
        <w:spacing w:before="11"/>
        <w:rPr>
          <w:sz w:val="14"/>
        </w:rPr>
      </w:pPr>
    </w:p>
    <w:p>
      <w:pPr>
        <w:pStyle w:val="ListParagraph"/>
        <w:numPr>
          <w:ilvl w:val="0"/>
          <w:numId w:val="2"/>
        </w:numPr>
        <w:tabs>
          <w:tab w:pos="865" w:val="left" w:leader="none"/>
          <w:tab w:pos="866" w:val="left" w:leader="none"/>
        </w:tabs>
        <w:spacing w:line="240" w:lineRule="auto" w:before="0" w:after="0"/>
        <w:ind w:left="865" w:right="0" w:hanging="360"/>
        <w:jc w:val="left"/>
        <w:rPr>
          <w:sz w:val="16"/>
        </w:rPr>
      </w:pPr>
      <w:r>
        <w:rPr>
          <w:sz w:val="16"/>
        </w:rPr>
        <w:t>Office des normes générales du</w:t>
      </w:r>
      <w:r>
        <w:rPr>
          <w:spacing w:val="-5"/>
          <w:sz w:val="16"/>
        </w:rPr>
        <w:t> </w:t>
      </w:r>
      <w:r>
        <w:rPr>
          <w:sz w:val="16"/>
        </w:rPr>
        <w:t>Canada(CGSB).</w:t>
      </w:r>
    </w:p>
    <w:p>
      <w:pPr>
        <w:pStyle w:val="BodyText"/>
        <w:spacing w:before="12"/>
        <w:rPr>
          <w:sz w:val="14"/>
        </w:rPr>
      </w:pPr>
    </w:p>
    <w:p>
      <w:pPr>
        <w:pStyle w:val="ListParagraph"/>
        <w:numPr>
          <w:ilvl w:val="0"/>
          <w:numId w:val="2"/>
        </w:numPr>
        <w:tabs>
          <w:tab w:pos="865" w:val="left" w:leader="none"/>
          <w:tab w:pos="866" w:val="left" w:leader="none"/>
        </w:tabs>
        <w:spacing w:line="240" w:lineRule="auto" w:before="0" w:after="0"/>
        <w:ind w:left="865" w:right="0" w:hanging="360"/>
        <w:jc w:val="left"/>
        <w:rPr>
          <w:sz w:val="16"/>
        </w:rPr>
      </w:pPr>
      <w:r>
        <w:rPr>
          <w:sz w:val="16"/>
        </w:rPr>
        <w:t>Normes parement métallique : CAN/CGSB 93.4.92 ET CAN/CGSB</w:t>
      </w:r>
      <w:r>
        <w:rPr>
          <w:spacing w:val="-6"/>
          <w:sz w:val="16"/>
        </w:rPr>
        <w:t> </w:t>
      </w:r>
      <w:r>
        <w:rPr>
          <w:sz w:val="16"/>
        </w:rPr>
        <w:t>93.5.92.</w:t>
      </w:r>
    </w:p>
    <w:p>
      <w:pPr>
        <w:pStyle w:val="BodyText"/>
        <w:rPr>
          <w:sz w:val="18"/>
        </w:rPr>
      </w:pPr>
    </w:p>
    <w:p>
      <w:pPr>
        <w:pStyle w:val="Heading2"/>
        <w:numPr>
          <w:ilvl w:val="1"/>
          <w:numId w:val="3"/>
        </w:numPr>
        <w:tabs>
          <w:tab w:pos="894" w:val="left" w:leader="none"/>
          <w:tab w:pos="895" w:val="left" w:leader="none"/>
        </w:tabs>
        <w:spacing w:line="240" w:lineRule="auto" w:before="157" w:after="0"/>
        <w:ind w:left="894" w:right="0" w:hanging="720"/>
        <w:jc w:val="left"/>
      </w:pPr>
      <w:r>
        <w:rPr/>
        <w:t>EXIGENCES </w:t>
      </w:r>
      <w:r>
        <w:rPr>
          <w:spacing w:val="-4"/>
        </w:rPr>
        <w:t>DE</w:t>
      </w:r>
      <w:r>
        <w:rPr>
          <w:spacing w:val="2"/>
        </w:rPr>
        <w:t> </w:t>
      </w:r>
      <w:r>
        <w:rPr/>
        <w:t>CONCEPTION</w:t>
      </w:r>
    </w:p>
    <w:p>
      <w:pPr>
        <w:pStyle w:val="ListParagraph"/>
        <w:numPr>
          <w:ilvl w:val="2"/>
          <w:numId w:val="3"/>
        </w:numPr>
        <w:tabs>
          <w:tab w:pos="1259" w:val="left" w:leader="none"/>
        </w:tabs>
        <w:spacing w:line="240" w:lineRule="auto" w:before="198" w:after="0"/>
        <w:ind w:left="865" w:right="537" w:firstLine="0"/>
        <w:jc w:val="left"/>
        <w:rPr>
          <w:sz w:val="16"/>
        </w:rPr>
      </w:pPr>
      <w:r>
        <w:rPr>
          <w:sz w:val="16"/>
        </w:rPr>
        <w:t>Fournir et installer tous les revêtements de la présente section ainsi que les matériaux de tous les autres parements.</w:t>
      </w:r>
    </w:p>
    <w:p>
      <w:pPr>
        <w:pStyle w:val="BodyText"/>
        <w:spacing w:before="2"/>
      </w:pPr>
    </w:p>
    <w:p>
      <w:pPr>
        <w:pStyle w:val="ListParagraph"/>
        <w:numPr>
          <w:ilvl w:val="2"/>
          <w:numId w:val="3"/>
        </w:numPr>
        <w:tabs>
          <w:tab w:pos="1264" w:val="left" w:leader="none"/>
        </w:tabs>
        <w:spacing w:line="240" w:lineRule="auto" w:before="0" w:after="0"/>
        <w:ind w:left="865" w:right="147" w:firstLine="0"/>
        <w:jc w:val="both"/>
        <w:rPr>
          <w:sz w:val="16"/>
        </w:rPr>
      </w:pPr>
      <w:r>
        <w:rPr>
          <w:sz w:val="16"/>
        </w:rPr>
        <w:t>Les panneaux métalliques doivent être conçus </w:t>
      </w:r>
      <w:r>
        <w:rPr>
          <w:spacing w:val="1"/>
          <w:sz w:val="16"/>
        </w:rPr>
        <w:t>de </w:t>
      </w:r>
      <w:r>
        <w:rPr>
          <w:sz w:val="16"/>
        </w:rPr>
        <w:t>manière à permettre les mouvements de contraction et de dilatation thermiques des composants, attribuables à des variations de température sur une plage d’environ 80</w:t>
      </w:r>
      <w:r>
        <w:rPr>
          <w:position w:val="4"/>
          <w:sz w:val="10"/>
        </w:rPr>
        <w:t>0</w:t>
      </w:r>
      <w:r>
        <w:rPr>
          <w:sz w:val="16"/>
        </w:rPr>
        <w:t>C, sans que cela n’exerce de contraintes excessives sur les dispositifs de fixation, ni ne cause le flambement des panneaux, la rupture des joints d’étanchéité ou toute autre</w:t>
      </w:r>
      <w:r>
        <w:rPr>
          <w:spacing w:val="-16"/>
          <w:sz w:val="16"/>
        </w:rPr>
        <w:t> </w:t>
      </w:r>
      <w:r>
        <w:rPr>
          <w:sz w:val="16"/>
        </w:rPr>
        <w:t>détérioration.</w:t>
      </w:r>
    </w:p>
    <w:p>
      <w:pPr>
        <w:pStyle w:val="BodyText"/>
        <w:spacing w:before="11"/>
        <w:rPr>
          <w:sz w:val="15"/>
        </w:rPr>
      </w:pPr>
    </w:p>
    <w:p>
      <w:pPr>
        <w:pStyle w:val="ListParagraph"/>
        <w:numPr>
          <w:ilvl w:val="2"/>
          <w:numId w:val="3"/>
        </w:numPr>
        <w:tabs>
          <w:tab w:pos="1269" w:val="left" w:leader="none"/>
        </w:tabs>
        <w:spacing w:line="240" w:lineRule="auto" w:before="0" w:after="0"/>
        <w:ind w:left="865" w:right="146" w:firstLine="0"/>
        <w:jc w:val="both"/>
        <w:rPr>
          <w:sz w:val="16"/>
        </w:rPr>
      </w:pPr>
      <w:r>
        <w:rPr>
          <w:sz w:val="16"/>
        </w:rPr>
        <w:t>L’écart maximal admissible concernant l’alignement vertical et horizontal des panneaux mis en place est de 1</w:t>
      </w:r>
      <w:r>
        <w:rPr>
          <w:spacing w:val="-3"/>
          <w:sz w:val="16"/>
        </w:rPr>
        <w:t> </w:t>
      </w:r>
      <w:r>
        <w:rPr>
          <w:sz w:val="16"/>
        </w:rPr>
        <w:t>:1000.</w:t>
      </w:r>
    </w:p>
    <w:p>
      <w:pPr>
        <w:pStyle w:val="BodyText"/>
        <w:spacing w:before="1"/>
      </w:pPr>
    </w:p>
    <w:p>
      <w:pPr>
        <w:pStyle w:val="ListParagraph"/>
        <w:numPr>
          <w:ilvl w:val="2"/>
          <w:numId w:val="3"/>
        </w:numPr>
        <w:tabs>
          <w:tab w:pos="1303" w:val="left" w:leader="none"/>
        </w:tabs>
        <w:spacing w:line="240" w:lineRule="auto" w:before="1" w:after="0"/>
        <w:ind w:left="865" w:right="150" w:firstLine="29"/>
        <w:jc w:val="both"/>
        <w:rPr>
          <w:sz w:val="16"/>
        </w:rPr>
      </w:pPr>
      <w:r>
        <w:rPr>
          <w:sz w:val="16"/>
        </w:rPr>
        <w:t>Harmoniser et coordonner les travaux de revêtements métalliques avec tous les entrepreneurs </w:t>
      </w:r>
      <w:r>
        <w:rPr>
          <w:spacing w:val="1"/>
          <w:sz w:val="16"/>
        </w:rPr>
        <w:t>de </w:t>
      </w:r>
      <w:r>
        <w:rPr>
          <w:sz w:val="16"/>
        </w:rPr>
        <w:t>toutes les disciplines sous-jacentes et adjacentes aux travaux de mise en place des</w:t>
      </w:r>
      <w:r>
        <w:rPr>
          <w:spacing w:val="-12"/>
          <w:sz w:val="16"/>
        </w:rPr>
        <w:t> </w:t>
      </w:r>
      <w:r>
        <w:rPr>
          <w:sz w:val="16"/>
        </w:rPr>
        <w:t>panneaux.</w:t>
      </w:r>
    </w:p>
    <w:p>
      <w:pPr>
        <w:pStyle w:val="BodyText"/>
        <w:spacing w:before="7"/>
        <w:rPr>
          <w:sz w:val="15"/>
        </w:rPr>
      </w:pPr>
    </w:p>
    <w:p>
      <w:pPr>
        <w:pStyle w:val="Heading2"/>
        <w:numPr>
          <w:ilvl w:val="1"/>
          <w:numId w:val="3"/>
        </w:numPr>
        <w:tabs>
          <w:tab w:pos="894" w:val="left" w:leader="none"/>
          <w:tab w:pos="895" w:val="left" w:leader="none"/>
        </w:tabs>
        <w:spacing w:line="240" w:lineRule="auto" w:before="0" w:after="0"/>
        <w:ind w:left="894" w:right="0" w:hanging="720"/>
        <w:jc w:val="left"/>
        <w:rPr>
          <w:sz w:val="16"/>
        </w:rPr>
      </w:pPr>
      <w:r>
        <w:rPr/>
        <w:t>FICHES</w:t>
      </w:r>
      <w:r>
        <w:rPr>
          <w:spacing w:val="-3"/>
        </w:rPr>
        <w:t> </w:t>
      </w:r>
      <w:r>
        <w:rPr/>
        <w:t>TECHNIQUES</w:t>
      </w:r>
    </w:p>
    <w:p>
      <w:pPr>
        <w:pStyle w:val="ListParagraph"/>
        <w:numPr>
          <w:ilvl w:val="2"/>
          <w:numId w:val="3"/>
        </w:numPr>
        <w:tabs>
          <w:tab w:pos="751" w:val="left" w:leader="none"/>
        </w:tabs>
        <w:spacing w:line="240" w:lineRule="auto" w:before="198" w:after="0"/>
        <w:ind w:left="265" w:right="0" w:firstLine="86"/>
        <w:jc w:val="left"/>
        <w:rPr>
          <w:sz w:val="16"/>
        </w:rPr>
      </w:pPr>
      <w:r>
        <w:rPr>
          <w:sz w:val="16"/>
        </w:rPr>
        <w:t>Soumettre les fiches techniques requises conformément à la section… (Documents et échantillons à</w:t>
      </w:r>
      <w:r>
        <w:rPr>
          <w:spacing w:val="-26"/>
          <w:sz w:val="16"/>
        </w:rPr>
        <w:t> </w:t>
      </w:r>
      <w:r>
        <w:rPr>
          <w:sz w:val="16"/>
        </w:rPr>
        <w:t>soumettre)</w:t>
      </w:r>
    </w:p>
    <w:p>
      <w:pPr>
        <w:pStyle w:val="BodyText"/>
        <w:spacing w:before="1"/>
      </w:pPr>
    </w:p>
    <w:p>
      <w:pPr>
        <w:pStyle w:val="ListParagraph"/>
        <w:numPr>
          <w:ilvl w:val="2"/>
          <w:numId w:val="3"/>
        </w:numPr>
        <w:tabs>
          <w:tab w:pos="760" w:val="left" w:leader="none"/>
        </w:tabs>
        <w:spacing w:line="240" w:lineRule="auto" w:before="1" w:after="0"/>
        <w:ind w:left="265" w:right="148" w:firstLine="86"/>
        <w:jc w:val="left"/>
        <w:rPr>
          <w:sz w:val="16"/>
        </w:rPr>
      </w:pPr>
      <w:r>
        <w:rPr>
          <w:sz w:val="16"/>
        </w:rPr>
        <w:t>Soumettre les fiches techniques des composantes du système de revêtement mural. Préciser les caractéristiques des produits, les couleurs choisies ainsi que les contraintes et les critères </w:t>
      </w:r>
      <w:r>
        <w:rPr>
          <w:spacing w:val="1"/>
          <w:sz w:val="16"/>
        </w:rPr>
        <w:t>de </w:t>
      </w:r>
      <w:r>
        <w:rPr>
          <w:sz w:val="16"/>
        </w:rPr>
        <w:t>performance à</w:t>
      </w:r>
      <w:r>
        <w:rPr>
          <w:spacing w:val="-11"/>
          <w:sz w:val="16"/>
        </w:rPr>
        <w:t> </w:t>
      </w:r>
      <w:r>
        <w:rPr>
          <w:sz w:val="16"/>
        </w:rPr>
        <w:t>respecter.</w:t>
      </w:r>
    </w:p>
    <w:p>
      <w:pPr>
        <w:spacing w:after="0" w:line="240" w:lineRule="auto"/>
        <w:jc w:val="left"/>
        <w:rPr>
          <w:sz w:val="16"/>
        </w:rPr>
        <w:sectPr>
          <w:headerReference w:type="default" r:id="rId5"/>
          <w:footerReference w:type="default" r:id="rId6"/>
          <w:type w:val="continuous"/>
          <w:pgSz w:w="12240" w:h="15840"/>
          <w:pgMar w:header="515" w:footer="1467" w:top="1320" w:bottom="1660" w:left="1280" w:right="1260"/>
          <w:pgNumType w:start="1"/>
        </w:sectPr>
      </w:pPr>
    </w:p>
    <w:p>
      <w:pPr>
        <w:pStyle w:val="Heading2"/>
        <w:numPr>
          <w:ilvl w:val="1"/>
          <w:numId w:val="3"/>
        </w:numPr>
        <w:tabs>
          <w:tab w:pos="894" w:val="left" w:leader="none"/>
          <w:tab w:pos="895" w:val="left" w:leader="none"/>
        </w:tabs>
        <w:spacing w:line="240" w:lineRule="auto" w:before="91" w:after="0"/>
        <w:ind w:left="894" w:right="0" w:hanging="720"/>
        <w:jc w:val="left"/>
        <w:rPr>
          <w:sz w:val="16"/>
        </w:rPr>
      </w:pPr>
      <w:r>
        <w:rPr/>
        <w:t>DESSINS</w:t>
      </w:r>
      <w:r>
        <w:rPr>
          <w:spacing w:val="0"/>
        </w:rPr>
        <w:t> </w:t>
      </w:r>
      <w:r>
        <w:rPr/>
        <w:t>D’ATELIER</w:t>
      </w:r>
    </w:p>
    <w:p>
      <w:pPr>
        <w:pStyle w:val="ListParagraph"/>
        <w:numPr>
          <w:ilvl w:val="2"/>
          <w:numId w:val="3"/>
        </w:numPr>
        <w:tabs>
          <w:tab w:pos="751" w:val="left" w:leader="none"/>
        </w:tabs>
        <w:spacing w:line="240" w:lineRule="auto" w:before="199" w:after="0"/>
        <w:ind w:left="265" w:right="0" w:firstLine="86"/>
        <w:jc w:val="left"/>
        <w:rPr>
          <w:sz w:val="16"/>
        </w:rPr>
      </w:pPr>
      <w:r>
        <w:rPr>
          <w:sz w:val="16"/>
        </w:rPr>
        <w:t>Soumettre les dessins d’atelier requis conformément à la section (Documents et échantillons à</w:t>
      </w:r>
      <w:r>
        <w:rPr>
          <w:spacing w:val="-10"/>
          <w:sz w:val="16"/>
        </w:rPr>
        <w:t> </w:t>
      </w:r>
      <w:r>
        <w:rPr>
          <w:sz w:val="16"/>
        </w:rPr>
        <w:t>remettre)</w:t>
      </w:r>
    </w:p>
    <w:p>
      <w:pPr>
        <w:pStyle w:val="BodyText"/>
        <w:spacing w:before="1"/>
      </w:pPr>
    </w:p>
    <w:p>
      <w:pPr>
        <w:pStyle w:val="ListParagraph"/>
        <w:numPr>
          <w:ilvl w:val="2"/>
          <w:numId w:val="3"/>
        </w:numPr>
        <w:tabs>
          <w:tab w:pos="669" w:val="left" w:leader="none"/>
        </w:tabs>
        <w:spacing w:line="240" w:lineRule="auto" w:before="0" w:after="0"/>
        <w:ind w:left="265" w:right="147" w:firstLine="0"/>
        <w:jc w:val="both"/>
        <w:rPr>
          <w:sz w:val="16"/>
        </w:rPr>
      </w:pPr>
      <w:r>
        <w:rPr>
          <w:sz w:val="16"/>
        </w:rPr>
        <w:t>Indiquer les dimensions et l’épaisseur des panneaux, les méthodes d’ancrage et de fixation, l’emplacement et les détails des joints et des garnitures d’étanchéité, les mesures de rattrapage des mouvements de contraction et </w:t>
      </w:r>
      <w:r>
        <w:rPr>
          <w:spacing w:val="1"/>
          <w:sz w:val="16"/>
        </w:rPr>
        <w:t>de </w:t>
      </w:r>
      <w:r>
        <w:rPr>
          <w:sz w:val="16"/>
        </w:rPr>
        <w:t>dilatation thermiques, les ouvertures prévues dans les toitures ou dans les murs, les détails des moulures </w:t>
      </w:r>
      <w:r>
        <w:rPr>
          <w:spacing w:val="1"/>
          <w:sz w:val="16"/>
        </w:rPr>
        <w:t>de </w:t>
      </w:r>
      <w:r>
        <w:rPr>
          <w:sz w:val="16"/>
        </w:rPr>
        <w:t>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w:t>
      </w:r>
      <w:r>
        <w:rPr>
          <w:spacing w:val="6"/>
          <w:sz w:val="16"/>
        </w:rPr>
        <w:t> </w:t>
      </w:r>
      <w:r>
        <w:rPr>
          <w:sz w:val="16"/>
        </w:rPr>
        <w:t>connexes.</w:t>
      </w:r>
    </w:p>
    <w:p>
      <w:pPr>
        <w:pStyle w:val="BodyText"/>
        <w:spacing w:before="12"/>
        <w:rPr>
          <w:sz w:val="15"/>
        </w:rPr>
      </w:pPr>
    </w:p>
    <w:p>
      <w:pPr>
        <w:pStyle w:val="ListParagraph"/>
        <w:numPr>
          <w:ilvl w:val="2"/>
          <w:numId w:val="3"/>
        </w:numPr>
        <w:tabs>
          <w:tab w:pos="741" w:val="left" w:leader="none"/>
        </w:tabs>
        <w:spacing w:line="240" w:lineRule="auto" w:before="0" w:after="0"/>
        <w:ind w:left="347" w:right="243" w:firstLine="0"/>
        <w:jc w:val="left"/>
        <w:rPr>
          <w:sz w:val="16"/>
        </w:rPr>
      </w:pPr>
      <w:r>
        <w:rPr>
          <w:sz w:val="16"/>
        </w:rPr>
        <w:t>Tous les dessins d’atelier doivent être examinés et approuvés par un ingénieur en structure du bâtiment reconnu, certifié et opérant au</w:t>
      </w:r>
      <w:r>
        <w:rPr>
          <w:spacing w:val="-3"/>
          <w:sz w:val="16"/>
        </w:rPr>
        <w:t> </w:t>
      </w:r>
      <w:r>
        <w:rPr>
          <w:sz w:val="16"/>
        </w:rPr>
        <w:t>Québec.</w:t>
      </w:r>
    </w:p>
    <w:p>
      <w:pPr>
        <w:pStyle w:val="BodyText"/>
        <w:spacing w:before="9"/>
        <w:rPr>
          <w:sz w:val="15"/>
        </w:rPr>
      </w:pPr>
    </w:p>
    <w:p>
      <w:pPr>
        <w:pStyle w:val="ListParagraph"/>
        <w:numPr>
          <w:ilvl w:val="2"/>
          <w:numId w:val="3"/>
        </w:numPr>
        <w:tabs>
          <w:tab w:pos="751" w:val="left" w:leader="none"/>
        </w:tabs>
        <w:spacing w:line="240" w:lineRule="auto" w:before="0" w:after="0"/>
        <w:ind w:left="750" w:right="0" w:hanging="399"/>
        <w:jc w:val="left"/>
        <w:rPr>
          <w:sz w:val="16"/>
        </w:rPr>
      </w:pPr>
      <w:r>
        <w:rPr>
          <w:sz w:val="16"/>
        </w:rPr>
        <w:t>Lors de leurs émissions, tous les documents devront porter le scellé </w:t>
      </w:r>
      <w:r>
        <w:rPr>
          <w:spacing w:val="1"/>
          <w:sz w:val="16"/>
        </w:rPr>
        <w:t>de </w:t>
      </w:r>
      <w:r>
        <w:rPr>
          <w:sz w:val="16"/>
        </w:rPr>
        <w:t>l’ingénieur en</w:t>
      </w:r>
      <w:r>
        <w:rPr>
          <w:spacing w:val="-24"/>
          <w:sz w:val="16"/>
        </w:rPr>
        <w:t> </w:t>
      </w:r>
      <w:r>
        <w:rPr>
          <w:sz w:val="16"/>
        </w:rPr>
        <w:t>structure.</w:t>
      </w:r>
    </w:p>
    <w:p>
      <w:pPr>
        <w:pStyle w:val="BodyText"/>
        <w:spacing w:before="12"/>
        <w:rPr>
          <w:sz w:val="15"/>
        </w:rPr>
      </w:pPr>
    </w:p>
    <w:p>
      <w:pPr>
        <w:pStyle w:val="Heading2"/>
        <w:numPr>
          <w:ilvl w:val="1"/>
          <w:numId w:val="3"/>
        </w:numPr>
        <w:tabs>
          <w:tab w:pos="894" w:val="left" w:leader="none"/>
          <w:tab w:pos="895" w:val="left" w:leader="none"/>
        </w:tabs>
        <w:spacing w:line="240" w:lineRule="auto" w:before="0" w:after="0"/>
        <w:ind w:left="894" w:right="0" w:hanging="720"/>
        <w:jc w:val="left"/>
        <w:rPr>
          <w:sz w:val="16"/>
        </w:rPr>
      </w:pPr>
      <w:r>
        <w:rPr/>
        <w:t>ÉCHANTILLONS</w:t>
      </w:r>
    </w:p>
    <w:p>
      <w:pPr>
        <w:pStyle w:val="ListParagraph"/>
        <w:numPr>
          <w:ilvl w:val="2"/>
          <w:numId w:val="3"/>
        </w:numPr>
        <w:tabs>
          <w:tab w:pos="804" w:val="left" w:leader="none"/>
        </w:tabs>
        <w:spacing w:line="240" w:lineRule="auto" w:before="198" w:after="0"/>
        <w:ind w:left="404" w:right="0" w:firstLine="0"/>
        <w:jc w:val="left"/>
        <w:rPr>
          <w:sz w:val="16"/>
        </w:rPr>
      </w:pPr>
      <w:r>
        <w:rPr>
          <w:sz w:val="16"/>
        </w:rPr>
        <w:t>Soumettre les échantillons requis conformément à la section (Documents et échantillons à</w:t>
      </w:r>
      <w:r>
        <w:rPr>
          <w:spacing w:val="-17"/>
          <w:sz w:val="16"/>
        </w:rPr>
        <w:t> </w:t>
      </w:r>
      <w:r>
        <w:rPr>
          <w:sz w:val="16"/>
        </w:rPr>
        <w:t>remettre)</w:t>
      </w:r>
    </w:p>
    <w:p>
      <w:pPr>
        <w:pStyle w:val="BodyText"/>
        <w:spacing w:before="1"/>
      </w:pPr>
    </w:p>
    <w:p>
      <w:pPr>
        <w:pStyle w:val="ListParagraph"/>
        <w:numPr>
          <w:ilvl w:val="2"/>
          <w:numId w:val="3"/>
        </w:numPr>
        <w:tabs>
          <w:tab w:pos="827" w:val="left" w:leader="none"/>
        </w:tabs>
        <w:spacing w:line="240" w:lineRule="auto" w:before="0" w:after="0"/>
        <w:ind w:left="404" w:right="148" w:firstLine="0"/>
        <w:jc w:val="both"/>
        <w:rPr>
          <w:sz w:val="16"/>
        </w:rPr>
      </w:pPr>
      <w:r>
        <w:rPr>
          <w:sz w:val="16"/>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par l’architecte.</w:t>
      </w:r>
    </w:p>
    <w:p>
      <w:pPr>
        <w:pStyle w:val="BodyText"/>
        <w:rPr>
          <w:sz w:val="18"/>
        </w:rPr>
      </w:pPr>
    </w:p>
    <w:p>
      <w:pPr>
        <w:pStyle w:val="BodyText"/>
        <w:spacing w:before="9"/>
        <w:rPr>
          <w:sz w:val="13"/>
        </w:rPr>
      </w:pPr>
    </w:p>
    <w:p>
      <w:pPr>
        <w:pStyle w:val="Heading2"/>
        <w:numPr>
          <w:ilvl w:val="1"/>
          <w:numId w:val="3"/>
        </w:numPr>
        <w:tabs>
          <w:tab w:pos="894" w:val="left" w:leader="none"/>
          <w:tab w:pos="895" w:val="left" w:leader="none"/>
        </w:tabs>
        <w:spacing w:line="240" w:lineRule="auto" w:before="1" w:after="0"/>
        <w:ind w:left="894" w:right="0" w:hanging="720"/>
        <w:jc w:val="left"/>
      </w:pPr>
      <w:r>
        <w:rPr/>
        <w:t>QUALIFICATION DE LA</w:t>
      </w:r>
      <w:r>
        <w:rPr>
          <w:spacing w:val="-7"/>
        </w:rPr>
        <w:t> </w:t>
      </w:r>
      <w:r>
        <w:rPr/>
        <w:t>MAIN-D’ŒUVRE</w:t>
      </w:r>
    </w:p>
    <w:p>
      <w:pPr>
        <w:pStyle w:val="ListParagraph"/>
        <w:numPr>
          <w:ilvl w:val="2"/>
          <w:numId w:val="3"/>
        </w:numPr>
        <w:tabs>
          <w:tab w:pos="986" w:val="left" w:leader="none"/>
        </w:tabs>
        <w:spacing w:line="240" w:lineRule="auto" w:before="198" w:after="0"/>
        <w:ind w:left="985" w:right="140" w:hanging="720"/>
        <w:jc w:val="both"/>
        <w:rPr>
          <w:sz w:val="16"/>
        </w:rPr>
      </w:pPr>
      <w:r>
        <w:rPr>
          <w:sz w:val="16"/>
        </w:rPr>
        <w:t>Les revêtements métalliques doivent être installés par des ouvriers accrédités par le fabricant du système employé. L’entreprise qui mettra en place les revêtements métalliques doit démontrer à l’appel d’offres par </w:t>
      </w:r>
      <w:r>
        <w:rPr>
          <w:spacing w:val="5"/>
          <w:sz w:val="16"/>
        </w:rPr>
        <w:t>le </w:t>
      </w:r>
      <w:r>
        <w:rPr>
          <w:sz w:val="16"/>
        </w:rPr>
        <w:t>biais d’un document écrit qu’elle possède un minimum de 5 ans d’expérience en revêtement d’enveloppes de bâtiment commercial, institutionnel ou</w:t>
      </w:r>
      <w:r>
        <w:rPr>
          <w:spacing w:val="-7"/>
          <w:sz w:val="16"/>
        </w:rPr>
        <w:t> </w:t>
      </w:r>
      <w:r>
        <w:rPr>
          <w:sz w:val="16"/>
        </w:rPr>
        <w:t>industriel.</w:t>
      </w:r>
    </w:p>
    <w:p>
      <w:pPr>
        <w:pStyle w:val="BodyText"/>
        <w:spacing w:before="1"/>
      </w:pPr>
    </w:p>
    <w:p>
      <w:pPr>
        <w:pStyle w:val="Heading2"/>
        <w:numPr>
          <w:ilvl w:val="1"/>
          <w:numId w:val="3"/>
        </w:numPr>
        <w:tabs>
          <w:tab w:pos="807" w:val="left" w:leader="none"/>
          <w:tab w:pos="808" w:val="left" w:leader="none"/>
        </w:tabs>
        <w:spacing w:line="240" w:lineRule="auto" w:before="0" w:after="0"/>
        <w:ind w:left="807" w:right="0" w:hanging="518"/>
        <w:jc w:val="left"/>
        <w:rPr>
          <w:sz w:val="16"/>
        </w:rPr>
      </w:pPr>
      <w:r>
        <w:rPr/>
        <w:t>GARANTIES</w:t>
      </w:r>
    </w:p>
    <w:p>
      <w:pPr>
        <w:pStyle w:val="ListParagraph"/>
        <w:numPr>
          <w:ilvl w:val="2"/>
          <w:numId w:val="3"/>
        </w:numPr>
        <w:tabs>
          <w:tab w:pos="986" w:val="left" w:leader="none"/>
        </w:tabs>
        <w:spacing w:line="240" w:lineRule="auto" w:before="194" w:after="0"/>
        <w:ind w:left="985" w:right="147" w:hanging="720"/>
        <w:jc w:val="both"/>
        <w:rPr>
          <w:sz w:val="16"/>
        </w:rPr>
      </w:pPr>
      <w:r>
        <w:rPr>
          <w:sz w:val="16"/>
        </w:rPr>
        <w:t>GARANTIES DE QUALITÉ : Les travaux mentionnés dans la présente section sont garantis par l’installateur contre tout défaut </w:t>
      </w:r>
      <w:r>
        <w:rPr>
          <w:spacing w:val="1"/>
          <w:sz w:val="16"/>
        </w:rPr>
        <w:t>de </w:t>
      </w:r>
      <w:r>
        <w:rPr>
          <w:sz w:val="16"/>
        </w:rPr>
        <w:t>main-d’œuvre ou </w:t>
      </w:r>
      <w:r>
        <w:rPr>
          <w:spacing w:val="1"/>
          <w:sz w:val="16"/>
        </w:rPr>
        <w:t>de </w:t>
      </w:r>
      <w:r>
        <w:rPr>
          <w:sz w:val="16"/>
        </w:rPr>
        <w:t>matériaux pour une période </w:t>
      </w:r>
      <w:r>
        <w:rPr>
          <w:spacing w:val="1"/>
          <w:sz w:val="16"/>
        </w:rPr>
        <w:t>de </w:t>
      </w:r>
      <w:r>
        <w:rPr>
          <w:sz w:val="16"/>
        </w:rPr>
        <w:t>5 ans à compter de la date </w:t>
      </w:r>
      <w:r>
        <w:rPr>
          <w:spacing w:val="1"/>
          <w:sz w:val="16"/>
        </w:rPr>
        <w:t>de </w:t>
      </w:r>
      <w:r>
        <w:rPr>
          <w:sz w:val="16"/>
        </w:rPr>
        <w:t>quasi- achèvement des travaux</w:t>
      </w:r>
      <w:r>
        <w:rPr>
          <w:spacing w:val="-5"/>
          <w:sz w:val="16"/>
        </w:rPr>
        <w:t> </w:t>
      </w:r>
      <w:r>
        <w:rPr>
          <w:sz w:val="16"/>
        </w:rPr>
        <w:t>d’installation.</w:t>
      </w:r>
    </w:p>
    <w:p>
      <w:pPr>
        <w:pStyle w:val="BodyText"/>
        <w:spacing w:before="2"/>
      </w:pPr>
    </w:p>
    <w:p>
      <w:pPr>
        <w:pStyle w:val="ListParagraph"/>
        <w:numPr>
          <w:ilvl w:val="2"/>
          <w:numId w:val="3"/>
        </w:numPr>
        <w:tabs>
          <w:tab w:pos="986" w:val="left" w:leader="none"/>
        </w:tabs>
        <w:spacing w:line="240" w:lineRule="auto" w:before="0" w:after="0"/>
        <w:ind w:left="985" w:right="149" w:hanging="720"/>
        <w:jc w:val="both"/>
        <w:rPr>
          <w:sz w:val="16"/>
        </w:rPr>
      </w:pPr>
      <w:r>
        <w:rPr>
          <w:sz w:val="16"/>
        </w:rPr>
        <w:t>GARANTIE </w:t>
      </w:r>
      <w:r>
        <w:rPr>
          <w:spacing w:val="1"/>
          <w:sz w:val="16"/>
        </w:rPr>
        <w:t>DU </w:t>
      </w:r>
      <w:r>
        <w:rPr>
          <w:sz w:val="16"/>
        </w:rPr>
        <w:t>FABRICANT : Fournir une garantie écrite du fabricant contre tout défaut du fini extérieur appliqué en usine pendant la période de garantie. Le fini est garanti pendant 25 ans après la date </w:t>
      </w:r>
      <w:r>
        <w:rPr>
          <w:spacing w:val="1"/>
          <w:sz w:val="16"/>
        </w:rPr>
        <w:t>de </w:t>
      </w:r>
      <w:r>
        <w:rPr>
          <w:sz w:val="16"/>
        </w:rPr>
        <w:t>quasi- achèvement des travaux. Les valeurs ci-dessous sont fondées sur des conditions normales et excluent toutes conditions atmosphériques</w:t>
      </w:r>
      <w:r>
        <w:rPr>
          <w:spacing w:val="-3"/>
          <w:sz w:val="16"/>
        </w:rPr>
        <w:t> </w:t>
      </w:r>
      <w:r>
        <w:rPr>
          <w:sz w:val="16"/>
        </w:rPr>
        <w:t>extraordinaires.</w:t>
      </w:r>
    </w:p>
    <w:p>
      <w:pPr>
        <w:pStyle w:val="BodyText"/>
        <w:spacing w:before="11"/>
        <w:rPr>
          <w:sz w:val="15"/>
        </w:rPr>
      </w:pPr>
    </w:p>
    <w:p>
      <w:pPr>
        <w:pStyle w:val="BodyText"/>
        <w:ind w:left="145" w:right="152"/>
        <w:jc w:val="both"/>
      </w:pPr>
      <w:r>
        <w:rPr/>
        <w:t>La peinture de la série TEXTURAL IV (système de peinture à base de PVDF) est garantie contre toute fissuration, tout écaillage ou tout pelage (perte d’adhésion) visibles à l’œil nu en deçà de 10 mètres pendant 40 ans à compter de la date d’application et selon les critères de devis de performances du manufacturier (applicateur de la peinture) et selon les conditions de la garantie standard du fabricant des panneaux.</w:t>
      </w:r>
    </w:p>
    <w:p>
      <w:pPr>
        <w:pStyle w:val="BodyText"/>
        <w:spacing w:before="1"/>
      </w:pPr>
    </w:p>
    <w:p>
      <w:pPr>
        <w:pStyle w:val="Heading2"/>
        <w:numPr>
          <w:ilvl w:val="1"/>
          <w:numId w:val="4"/>
        </w:numPr>
        <w:tabs>
          <w:tab w:pos="807" w:val="left" w:leader="none"/>
          <w:tab w:pos="808" w:val="left" w:leader="none"/>
        </w:tabs>
        <w:spacing w:line="240" w:lineRule="auto" w:before="0" w:after="0"/>
        <w:ind w:left="807" w:right="0" w:hanging="600"/>
        <w:jc w:val="left"/>
      </w:pPr>
      <w:r>
        <w:rPr/>
        <w:t>TRANSPORT, ENTREPOSAGE </w:t>
      </w:r>
      <w:r>
        <w:rPr>
          <w:spacing w:val="-3"/>
        </w:rPr>
        <w:t>ET</w:t>
      </w:r>
      <w:r>
        <w:rPr>
          <w:spacing w:val="-9"/>
        </w:rPr>
        <w:t> </w:t>
      </w:r>
      <w:r>
        <w:rPr/>
        <w:t>MANUTENTION</w:t>
      </w:r>
    </w:p>
    <w:p>
      <w:pPr>
        <w:pStyle w:val="ListParagraph"/>
        <w:numPr>
          <w:ilvl w:val="2"/>
          <w:numId w:val="4"/>
        </w:numPr>
        <w:tabs>
          <w:tab w:pos="985" w:val="left" w:leader="none"/>
          <w:tab w:pos="986" w:val="left" w:leader="none"/>
        </w:tabs>
        <w:spacing w:line="240" w:lineRule="auto" w:before="193" w:after="0"/>
        <w:ind w:left="985" w:right="496" w:hanging="720"/>
        <w:jc w:val="left"/>
        <w:rPr>
          <w:sz w:val="16"/>
        </w:rPr>
      </w:pPr>
      <w:r>
        <w:rPr>
          <w:sz w:val="16"/>
        </w:rPr>
        <w:t>Entreposer</w:t>
      </w:r>
      <w:r>
        <w:rPr>
          <w:spacing w:val="-1"/>
          <w:sz w:val="16"/>
        </w:rPr>
        <w:t> </w:t>
      </w:r>
      <w:r>
        <w:rPr>
          <w:sz w:val="16"/>
        </w:rPr>
        <w:t>et</w:t>
      </w:r>
      <w:r>
        <w:rPr>
          <w:spacing w:val="-7"/>
          <w:sz w:val="16"/>
        </w:rPr>
        <w:t> </w:t>
      </w:r>
      <w:r>
        <w:rPr>
          <w:sz w:val="16"/>
        </w:rPr>
        <w:t>protéger</w:t>
      </w:r>
      <w:r>
        <w:rPr>
          <w:spacing w:val="-1"/>
          <w:sz w:val="16"/>
        </w:rPr>
        <w:t> </w:t>
      </w:r>
      <w:r>
        <w:rPr>
          <w:sz w:val="16"/>
        </w:rPr>
        <w:t>le</w:t>
      </w:r>
      <w:r>
        <w:rPr>
          <w:spacing w:val="-9"/>
          <w:sz w:val="16"/>
        </w:rPr>
        <w:t> </w:t>
      </w:r>
      <w:r>
        <w:rPr>
          <w:sz w:val="16"/>
        </w:rPr>
        <w:t>matériel</w:t>
      </w:r>
      <w:r>
        <w:rPr>
          <w:spacing w:val="-5"/>
          <w:sz w:val="16"/>
        </w:rPr>
        <w:t> </w:t>
      </w:r>
      <w:r>
        <w:rPr>
          <w:sz w:val="16"/>
        </w:rPr>
        <w:t>et</w:t>
      </w:r>
      <w:r>
        <w:rPr>
          <w:spacing w:val="-3"/>
          <w:sz w:val="16"/>
        </w:rPr>
        <w:t> </w:t>
      </w:r>
      <w:r>
        <w:rPr>
          <w:sz w:val="16"/>
        </w:rPr>
        <w:t>les</w:t>
      </w:r>
      <w:r>
        <w:rPr>
          <w:spacing w:val="-6"/>
          <w:sz w:val="16"/>
        </w:rPr>
        <w:t> </w:t>
      </w:r>
      <w:r>
        <w:rPr>
          <w:sz w:val="16"/>
        </w:rPr>
        <w:t>matériaux</w:t>
      </w:r>
      <w:r>
        <w:rPr>
          <w:spacing w:val="-1"/>
          <w:sz w:val="16"/>
        </w:rPr>
        <w:t> </w:t>
      </w:r>
      <w:r>
        <w:rPr>
          <w:sz w:val="16"/>
        </w:rPr>
        <w:t>conformément</w:t>
      </w:r>
      <w:r>
        <w:rPr>
          <w:spacing w:val="-3"/>
          <w:sz w:val="16"/>
        </w:rPr>
        <w:t> </w:t>
      </w:r>
      <w:r>
        <w:rPr>
          <w:sz w:val="16"/>
        </w:rPr>
        <w:t>aux</w:t>
      </w:r>
      <w:r>
        <w:rPr>
          <w:spacing w:val="-6"/>
          <w:sz w:val="16"/>
        </w:rPr>
        <w:t> </w:t>
      </w:r>
      <w:r>
        <w:rPr>
          <w:sz w:val="16"/>
        </w:rPr>
        <w:t>recommandations</w:t>
      </w:r>
      <w:r>
        <w:rPr>
          <w:spacing w:val="-6"/>
          <w:sz w:val="16"/>
        </w:rPr>
        <w:t> </w:t>
      </w:r>
      <w:r>
        <w:rPr>
          <w:sz w:val="16"/>
        </w:rPr>
        <w:t>du</w:t>
      </w:r>
      <w:r>
        <w:rPr>
          <w:spacing w:val="-3"/>
          <w:sz w:val="16"/>
        </w:rPr>
        <w:t> </w:t>
      </w:r>
      <w:r>
        <w:rPr>
          <w:sz w:val="16"/>
        </w:rPr>
        <w:t>fabricant</w:t>
      </w:r>
      <w:r>
        <w:rPr>
          <w:spacing w:val="-7"/>
          <w:sz w:val="16"/>
        </w:rPr>
        <w:t> </w:t>
      </w:r>
      <w:r>
        <w:rPr>
          <w:sz w:val="16"/>
        </w:rPr>
        <w:t>des panneaux métalliques de</w:t>
      </w:r>
      <w:r>
        <w:rPr>
          <w:spacing w:val="-2"/>
          <w:sz w:val="16"/>
        </w:rPr>
        <w:t> </w:t>
      </w:r>
      <w:r>
        <w:rPr>
          <w:sz w:val="16"/>
        </w:rPr>
        <w:t>recouvrement.</w:t>
      </w:r>
    </w:p>
    <w:p>
      <w:pPr>
        <w:pStyle w:val="BodyText"/>
        <w:spacing w:before="2"/>
      </w:pPr>
    </w:p>
    <w:p>
      <w:pPr>
        <w:pStyle w:val="ListParagraph"/>
        <w:numPr>
          <w:ilvl w:val="2"/>
          <w:numId w:val="4"/>
        </w:numPr>
        <w:tabs>
          <w:tab w:pos="985" w:val="left" w:leader="none"/>
          <w:tab w:pos="986" w:val="left" w:leader="none"/>
        </w:tabs>
        <w:spacing w:line="240" w:lineRule="auto" w:before="0" w:after="0"/>
        <w:ind w:left="985" w:right="0" w:hanging="720"/>
        <w:jc w:val="left"/>
        <w:rPr>
          <w:sz w:val="16"/>
        </w:rPr>
      </w:pPr>
      <w:r>
        <w:rPr>
          <w:sz w:val="16"/>
        </w:rPr>
        <w:t>Ne pas déposer ou charger avec d’autres produits le dessus des paquets des panneaux</w:t>
      </w:r>
      <w:r>
        <w:rPr>
          <w:spacing w:val="-23"/>
          <w:sz w:val="16"/>
        </w:rPr>
        <w:t> </w:t>
      </w:r>
      <w:r>
        <w:rPr>
          <w:sz w:val="16"/>
        </w:rPr>
        <w:t>emballés.</w:t>
      </w:r>
    </w:p>
    <w:p>
      <w:pPr>
        <w:pStyle w:val="BodyText"/>
        <w:spacing w:before="1"/>
      </w:pPr>
    </w:p>
    <w:p>
      <w:pPr>
        <w:pStyle w:val="ListParagraph"/>
        <w:numPr>
          <w:ilvl w:val="2"/>
          <w:numId w:val="4"/>
        </w:numPr>
        <w:tabs>
          <w:tab w:pos="985" w:val="left" w:leader="none"/>
          <w:tab w:pos="986" w:val="left" w:leader="none"/>
        </w:tabs>
        <w:spacing w:line="240" w:lineRule="auto" w:before="1" w:after="0"/>
        <w:ind w:left="985" w:right="350" w:hanging="720"/>
        <w:jc w:val="left"/>
        <w:rPr>
          <w:sz w:val="16"/>
        </w:rPr>
      </w:pPr>
      <w:r>
        <w:rPr>
          <w:sz w:val="16"/>
        </w:rPr>
        <w:t>Dans</w:t>
      </w:r>
      <w:r>
        <w:rPr>
          <w:spacing w:val="-5"/>
          <w:sz w:val="16"/>
        </w:rPr>
        <w:t> </w:t>
      </w:r>
      <w:r>
        <w:rPr>
          <w:sz w:val="16"/>
        </w:rPr>
        <w:t>le</w:t>
      </w:r>
      <w:r>
        <w:rPr>
          <w:spacing w:val="-3"/>
          <w:sz w:val="16"/>
        </w:rPr>
        <w:t> </w:t>
      </w:r>
      <w:r>
        <w:rPr>
          <w:sz w:val="16"/>
        </w:rPr>
        <w:t>cas</w:t>
      </w:r>
      <w:r>
        <w:rPr>
          <w:spacing w:val="-5"/>
          <w:sz w:val="16"/>
        </w:rPr>
        <w:t> </w:t>
      </w:r>
      <w:r>
        <w:rPr>
          <w:sz w:val="16"/>
        </w:rPr>
        <w:t>où</w:t>
      </w:r>
      <w:r>
        <w:rPr>
          <w:spacing w:val="-1"/>
          <w:sz w:val="16"/>
        </w:rPr>
        <w:t> </w:t>
      </w:r>
      <w:r>
        <w:rPr>
          <w:sz w:val="16"/>
        </w:rPr>
        <w:t>les</w:t>
      </w:r>
      <w:r>
        <w:rPr>
          <w:spacing w:val="-5"/>
          <w:sz w:val="16"/>
        </w:rPr>
        <w:t> </w:t>
      </w:r>
      <w:r>
        <w:rPr>
          <w:sz w:val="16"/>
        </w:rPr>
        <w:t>panneaux</w:t>
      </w:r>
      <w:r>
        <w:rPr>
          <w:spacing w:val="-5"/>
          <w:sz w:val="16"/>
        </w:rPr>
        <w:t> </w:t>
      </w:r>
      <w:r>
        <w:rPr>
          <w:sz w:val="16"/>
        </w:rPr>
        <w:t>ne</w:t>
      </w:r>
      <w:r>
        <w:rPr>
          <w:spacing w:val="-7"/>
          <w:sz w:val="16"/>
        </w:rPr>
        <w:t> </w:t>
      </w:r>
      <w:r>
        <w:rPr>
          <w:sz w:val="16"/>
        </w:rPr>
        <w:t>pourraient</w:t>
      </w:r>
      <w:r>
        <w:rPr>
          <w:spacing w:val="-2"/>
          <w:sz w:val="16"/>
        </w:rPr>
        <w:t> </w:t>
      </w:r>
      <w:r>
        <w:rPr>
          <w:sz w:val="16"/>
        </w:rPr>
        <w:t>être</w:t>
      </w:r>
      <w:r>
        <w:rPr>
          <w:spacing w:val="-7"/>
          <w:sz w:val="16"/>
        </w:rPr>
        <w:t> </w:t>
      </w:r>
      <w:r>
        <w:rPr>
          <w:sz w:val="16"/>
        </w:rPr>
        <w:t>installés</w:t>
      </w:r>
      <w:r>
        <w:rPr>
          <w:spacing w:val="-5"/>
          <w:sz w:val="16"/>
        </w:rPr>
        <w:t> </w:t>
      </w:r>
      <w:r>
        <w:rPr>
          <w:sz w:val="16"/>
        </w:rPr>
        <w:t>dès</w:t>
      </w:r>
      <w:r>
        <w:rPr>
          <w:spacing w:val="-5"/>
          <w:sz w:val="16"/>
        </w:rPr>
        <w:t> </w:t>
      </w:r>
      <w:r>
        <w:rPr>
          <w:sz w:val="16"/>
        </w:rPr>
        <w:t>la</w:t>
      </w:r>
      <w:r>
        <w:rPr>
          <w:spacing w:val="-3"/>
          <w:sz w:val="16"/>
        </w:rPr>
        <w:t> </w:t>
      </w:r>
      <w:r>
        <w:rPr>
          <w:sz w:val="16"/>
        </w:rPr>
        <w:t>réception,</w:t>
      </w:r>
      <w:r>
        <w:rPr>
          <w:spacing w:val="-2"/>
          <w:sz w:val="16"/>
        </w:rPr>
        <w:t> </w:t>
      </w:r>
      <w:r>
        <w:rPr>
          <w:sz w:val="16"/>
        </w:rPr>
        <w:t>entreposez-les</w:t>
      </w:r>
      <w:r>
        <w:rPr>
          <w:spacing w:val="-5"/>
          <w:sz w:val="16"/>
        </w:rPr>
        <w:t> </w:t>
      </w:r>
      <w:r>
        <w:rPr>
          <w:sz w:val="16"/>
        </w:rPr>
        <w:t>à</w:t>
      </w:r>
      <w:r>
        <w:rPr>
          <w:spacing w:val="0"/>
          <w:sz w:val="16"/>
        </w:rPr>
        <w:t> </w:t>
      </w:r>
      <w:r>
        <w:rPr>
          <w:sz w:val="16"/>
        </w:rPr>
        <w:t>l’intérieur</w:t>
      </w:r>
      <w:r>
        <w:rPr>
          <w:spacing w:val="-5"/>
          <w:sz w:val="16"/>
        </w:rPr>
        <w:t> </w:t>
      </w:r>
      <w:r>
        <w:rPr>
          <w:sz w:val="16"/>
        </w:rPr>
        <w:t>dans un endroit sec et</w:t>
      </w:r>
      <w:r>
        <w:rPr>
          <w:spacing w:val="-5"/>
          <w:sz w:val="16"/>
        </w:rPr>
        <w:t> </w:t>
      </w:r>
      <w:r>
        <w:rPr>
          <w:sz w:val="16"/>
        </w:rPr>
        <w:t>ventilé.</w:t>
      </w:r>
    </w:p>
    <w:p>
      <w:pPr>
        <w:pStyle w:val="BodyText"/>
        <w:spacing w:before="9"/>
        <w:rPr>
          <w:sz w:val="15"/>
        </w:rPr>
      </w:pPr>
    </w:p>
    <w:p>
      <w:pPr>
        <w:pStyle w:val="ListParagraph"/>
        <w:numPr>
          <w:ilvl w:val="2"/>
          <w:numId w:val="4"/>
        </w:numPr>
        <w:tabs>
          <w:tab w:pos="986" w:val="left" w:leader="none"/>
        </w:tabs>
        <w:spacing w:line="240" w:lineRule="auto" w:before="0" w:after="0"/>
        <w:ind w:left="985" w:right="147" w:hanging="720"/>
        <w:jc w:val="both"/>
        <w:rPr>
          <w:sz w:val="16"/>
        </w:rPr>
      </w:pPr>
      <w:r>
        <w:rPr>
          <w:sz w:val="16"/>
        </w:rPr>
        <w:t>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w:t>
      </w:r>
      <w:r>
        <w:rPr>
          <w:spacing w:val="1"/>
          <w:sz w:val="16"/>
        </w:rPr>
        <w:t>de </w:t>
      </w:r>
      <w:r>
        <w:rPr>
          <w:sz w:val="16"/>
        </w:rPr>
        <w:t>colle sur les panneaux après son</w:t>
      </w:r>
      <w:r>
        <w:rPr>
          <w:spacing w:val="-5"/>
          <w:sz w:val="16"/>
        </w:rPr>
        <w:t> </w:t>
      </w:r>
      <w:r>
        <w:rPr>
          <w:sz w:val="16"/>
        </w:rPr>
        <w:t>enlèvement.</w:t>
      </w:r>
    </w:p>
    <w:p>
      <w:pPr>
        <w:spacing w:after="0" w:line="240" w:lineRule="auto"/>
        <w:jc w:val="both"/>
        <w:rPr>
          <w:sz w:val="16"/>
        </w:rPr>
        <w:sectPr>
          <w:pgSz w:w="12240" w:h="15840"/>
          <w:pgMar w:header="515" w:footer="1467" w:top="1320" w:bottom="1660" w:left="1280" w:right="1260"/>
        </w:sectPr>
      </w:pPr>
    </w:p>
    <w:p>
      <w:pPr>
        <w:pStyle w:val="BodyText"/>
        <w:spacing w:before="8"/>
        <w:rPr>
          <w:sz w:val="15"/>
        </w:rPr>
      </w:pPr>
    </w:p>
    <w:p>
      <w:pPr>
        <w:pStyle w:val="ListParagraph"/>
        <w:numPr>
          <w:ilvl w:val="2"/>
          <w:numId w:val="4"/>
        </w:numPr>
        <w:tabs>
          <w:tab w:pos="985" w:val="left" w:leader="none"/>
          <w:tab w:pos="986" w:val="left" w:leader="none"/>
        </w:tabs>
        <w:spacing w:line="240" w:lineRule="auto" w:before="98" w:after="0"/>
        <w:ind w:left="985" w:right="644" w:hanging="720"/>
        <w:jc w:val="left"/>
        <w:rPr>
          <w:sz w:val="16"/>
        </w:rPr>
      </w:pPr>
      <w:r>
        <w:rPr>
          <w:sz w:val="16"/>
        </w:rPr>
        <w:t>Ne</w:t>
      </w:r>
      <w:r>
        <w:rPr>
          <w:spacing w:val="-3"/>
          <w:sz w:val="16"/>
        </w:rPr>
        <w:t> </w:t>
      </w:r>
      <w:r>
        <w:rPr>
          <w:sz w:val="16"/>
        </w:rPr>
        <w:t>pas</w:t>
      </w:r>
      <w:r>
        <w:rPr>
          <w:spacing w:val="-4"/>
          <w:sz w:val="16"/>
        </w:rPr>
        <w:t> </w:t>
      </w:r>
      <w:r>
        <w:rPr>
          <w:sz w:val="16"/>
        </w:rPr>
        <w:t>laisser</w:t>
      </w:r>
      <w:r>
        <w:rPr>
          <w:spacing w:val="-4"/>
          <w:sz w:val="16"/>
        </w:rPr>
        <w:t> </w:t>
      </w:r>
      <w:r>
        <w:rPr>
          <w:sz w:val="16"/>
        </w:rPr>
        <w:t>des</w:t>
      </w:r>
      <w:r>
        <w:rPr>
          <w:spacing w:val="-4"/>
          <w:sz w:val="16"/>
        </w:rPr>
        <w:t> </w:t>
      </w:r>
      <w:r>
        <w:rPr>
          <w:sz w:val="16"/>
        </w:rPr>
        <w:t>panneaux</w:t>
      </w:r>
      <w:r>
        <w:rPr>
          <w:spacing w:val="-4"/>
          <w:sz w:val="16"/>
        </w:rPr>
        <w:t> </w:t>
      </w:r>
      <w:r>
        <w:rPr>
          <w:sz w:val="16"/>
        </w:rPr>
        <w:t>désemballés et</w:t>
      </w:r>
      <w:r>
        <w:rPr>
          <w:spacing w:val="-6"/>
          <w:sz w:val="16"/>
        </w:rPr>
        <w:t> </w:t>
      </w:r>
      <w:r>
        <w:rPr>
          <w:sz w:val="16"/>
        </w:rPr>
        <w:t>ne</w:t>
      </w:r>
      <w:r>
        <w:rPr>
          <w:spacing w:val="-7"/>
          <w:sz w:val="16"/>
        </w:rPr>
        <w:t> </w:t>
      </w:r>
      <w:r>
        <w:rPr>
          <w:sz w:val="16"/>
        </w:rPr>
        <w:t>pas les laisser en</w:t>
      </w:r>
      <w:r>
        <w:rPr>
          <w:spacing w:val="-5"/>
          <w:sz w:val="16"/>
        </w:rPr>
        <w:t> </w:t>
      </w:r>
      <w:r>
        <w:rPr>
          <w:sz w:val="16"/>
        </w:rPr>
        <w:t>dehors</w:t>
      </w:r>
      <w:r>
        <w:rPr>
          <w:spacing w:val="-4"/>
          <w:sz w:val="16"/>
        </w:rPr>
        <w:t> </w:t>
      </w:r>
      <w:r>
        <w:rPr>
          <w:spacing w:val="1"/>
          <w:sz w:val="16"/>
        </w:rPr>
        <w:t>de</w:t>
      </w:r>
      <w:r>
        <w:rPr>
          <w:spacing w:val="-3"/>
          <w:sz w:val="16"/>
        </w:rPr>
        <w:t> </w:t>
      </w:r>
      <w:r>
        <w:rPr>
          <w:sz w:val="16"/>
        </w:rPr>
        <w:t>leur</w:t>
      </w:r>
      <w:r>
        <w:rPr>
          <w:spacing w:val="-4"/>
          <w:sz w:val="16"/>
        </w:rPr>
        <w:t> </w:t>
      </w:r>
      <w:r>
        <w:rPr>
          <w:sz w:val="16"/>
        </w:rPr>
        <w:t>support</w:t>
      </w:r>
      <w:r>
        <w:rPr>
          <w:spacing w:val="-6"/>
          <w:sz w:val="16"/>
        </w:rPr>
        <w:t> </w:t>
      </w:r>
      <w:r>
        <w:rPr>
          <w:sz w:val="16"/>
        </w:rPr>
        <w:t>de</w:t>
      </w:r>
      <w:r>
        <w:rPr>
          <w:spacing w:val="-3"/>
          <w:sz w:val="16"/>
        </w:rPr>
        <w:t> </w:t>
      </w:r>
      <w:r>
        <w:rPr>
          <w:sz w:val="16"/>
        </w:rPr>
        <w:t>bois</w:t>
      </w:r>
      <w:r>
        <w:rPr>
          <w:spacing w:val="-4"/>
          <w:sz w:val="16"/>
        </w:rPr>
        <w:t> </w:t>
      </w:r>
      <w:r>
        <w:rPr>
          <w:sz w:val="16"/>
        </w:rPr>
        <w:t>entre</w:t>
      </w:r>
      <w:r>
        <w:rPr>
          <w:spacing w:val="-3"/>
          <w:sz w:val="16"/>
        </w:rPr>
        <w:t> </w:t>
      </w:r>
      <w:r>
        <w:rPr>
          <w:sz w:val="16"/>
        </w:rPr>
        <w:t>les journées de travail</w:t>
      </w:r>
      <w:r>
        <w:rPr>
          <w:spacing w:val="-5"/>
          <w:sz w:val="16"/>
        </w:rPr>
        <w:t> </w:t>
      </w:r>
      <w:r>
        <w:rPr>
          <w:sz w:val="16"/>
        </w:rPr>
        <w:t>d’installation.</w:t>
      </w:r>
    </w:p>
    <w:p>
      <w:pPr>
        <w:pStyle w:val="BodyText"/>
        <w:rPr>
          <w:sz w:val="18"/>
        </w:rPr>
      </w:pPr>
    </w:p>
    <w:p>
      <w:pPr>
        <w:pStyle w:val="BodyText"/>
        <w:spacing w:before="1"/>
        <w:rPr>
          <w:sz w:val="14"/>
        </w:rPr>
      </w:pPr>
    </w:p>
    <w:p>
      <w:pPr>
        <w:pStyle w:val="Heading2"/>
        <w:numPr>
          <w:ilvl w:val="1"/>
          <w:numId w:val="5"/>
        </w:numPr>
        <w:tabs>
          <w:tab w:pos="807" w:val="left" w:leader="none"/>
          <w:tab w:pos="808" w:val="left" w:leader="none"/>
        </w:tabs>
        <w:spacing w:line="240" w:lineRule="auto" w:before="0" w:after="0"/>
        <w:ind w:left="807" w:right="0" w:hanging="600"/>
        <w:jc w:val="left"/>
      </w:pPr>
      <w:r>
        <w:rPr/>
        <w:t>GESTION ET ÉLIMINATION </w:t>
      </w:r>
      <w:r>
        <w:rPr>
          <w:spacing w:val="-2"/>
        </w:rPr>
        <w:t>DES</w:t>
      </w:r>
      <w:r>
        <w:rPr>
          <w:spacing w:val="0"/>
        </w:rPr>
        <w:t> </w:t>
      </w:r>
      <w:r>
        <w:rPr/>
        <w:t>DÉCHETS</w:t>
      </w:r>
    </w:p>
    <w:p>
      <w:pPr>
        <w:pStyle w:val="ListParagraph"/>
        <w:numPr>
          <w:ilvl w:val="2"/>
          <w:numId w:val="5"/>
        </w:numPr>
        <w:tabs>
          <w:tab w:pos="985" w:val="left" w:leader="none"/>
          <w:tab w:pos="986" w:val="left" w:leader="none"/>
        </w:tabs>
        <w:spacing w:line="240" w:lineRule="auto" w:before="193" w:after="0"/>
        <w:ind w:left="985" w:right="0" w:hanging="720"/>
        <w:jc w:val="left"/>
        <w:rPr>
          <w:sz w:val="16"/>
        </w:rPr>
      </w:pPr>
      <w:r>
        <w:rPr>
          <w:sz w:val="16"/>
        </w:rPr>
        <w:t>Trier</w:t>
      </w:r>
      <w:r>
        <w:rPr>
          <w:spacing w:val="-4"/>
          <w:sz w:val="16"/>
        </w:rPr>
        <w:t> </w:t>
      </w:r>
      <w:r>
        <w:rPr>
          <w:sz w:val="16"/>
        </w:rPr>
        <w:t>et</w:t>
      </w:r>
      <w:r>
        <w:rPr>
          <w:spacing w:val="-6"/>
          <w:sz w:val="16"/>
        </w:rPr>
        <w:t> </w:t>
      </w:r>
      <w:r>
        <w:rPr>
          <w:sz w:val="16"/>
        </w:rPr>
        <w:t>recycler</w:t>
      </w:r>
      <w:r>
        <w:rPr>
          <w:spacing w:val="0"/>
          <w:sz w:val="16"/>
        </w:rPr>
        <w:t> </w:t>
      </w:r>
      <w:r>
        <w:rPr>
          <w:sz w:val="16"/>
        </w:rPr>
        <w:t>les</w:t>
      </w:r>
      <w:r>
        <w:rPr>
          <w:spacing w:val="-4"/>
          <w:sz w:val="16"/>
        </w:rPr>
        <w:t> </w:t>
      </w:r>
      <w:r>
        <w:rPr>
          <w:sz w:val="16"/>
        </w:rPr>
        <w:t>déchets</w:t>
      </w:r>
      <w:r>
        <w:rPr>
          <w:spacing w:val="0"/>
          <w:sz w:val="16"/>
        </w:rPr>
        <w:t> </w:t>
      </w:r>
      <w:r>
        <w:rPr>
          <w:sz w:val="16"/>
        </w:rPr>
        <w:t>conformément</w:t>
      </w:r>
      <w:r>
        <w:rPr>
          <w:spacing w:val="-6"/>
          <w:sz w:val="16"/>
        </w:rPr>
        <w:t> </w:t>
      </w:r>
      <w:r>
        <w:rPr>
          <w:sz w:val="16"/>
        </w:rPr>
        <w:t>à</w:t>
      </w:r>
      <w:r>
        <w:rPr>
          <w:spacing w:val="1"/>
          <w:sz w:val="16"/>
        </w:rPr>
        <w:t> </w:t>
      </w:r>
      <w:r>
        <w:rPr>
          <w:sz w:val="16"/>
        </w:rPr>
        <w:t>la</w:t>
      </w:r>
      <w:r>
        <w:rPr>
          <w:spacing w:val="-2"/>
          <w:sz w:val="16"/>
        </w:rPr>
        <w:t> </w:t>
      </w:r>
      <w:r>
        <w:rPr>
          <w:sz w:val="16"/>
        </w:rPr>
        <w:t>section</w:t>
      </w:r>
      <w:r>
        <w:rPr>
          <w:spacing w:val="-5"/>
          <w:sz w:val="16"/>
        </w:rPr>
        <w:t> </w:t>
      </w:r>
      <w:r>
        <w:rPr>
          <w:sz w:val="16"/>
        </w:rPr>
        <w:t>(Gestion</w:t>
      </w:r>
      <w:r>
        <w:rPr>
          <w:spacing w:val="-5"/>
          <w:sz w:val="16"/>
        </w:rPr>
        <w:t> </w:t>
      </w:r>
      <w:r>
        <w:rPr>
          <w:sz w:val="16"/>
        </w:rPr>
        <w:t>et</w:t>
      </w:r>
      <w:r>
        <w:rPr>
          <w:spacing w:val="-6"/>
          <w:sz w:val="16"/>
        </w:rPr>
        <w:t> </w:t>
      </w:r>
      <w:r>
        <w:rPr>
          <w:sz w:val="16"/>
        </w:rPr>
        <w:t>élimination</w:t>
      </w:r>
      <w:r>
        <w:rPr>
          <w:spacing w:val="-5"/>
          <w:sz w:val="16"/>
        </w:rPr>
        <w:t> </w:t>
      </w:r>
      <w:r>
        <w:rPr>
          <w:sz w:val="16"/>
        </w:rPr>
        <w:t>des</w:t>
      </w:r>
      <w:r>
        <w:rPr>
          <w:spacing w:val="-4"/>
          <w:sz w:val="16"/>
        </w:rPr>
        <w:t> </w:t>
      </w:r>
      <w:r>
        <w:rPr>
          <w:sz w:val="16"/>
        </w:rPr>
        <w:t>déchets</w:t>
      </w:r>
      <w:r>
        <w:rPr>
          <w:spacing w:val="-4"/>
          <w:sz w:val="16"/>
        </w:rPr>
        <w:t> </w:t>
      </w:r>
      <w:r>
        <w:rPr>
          <w:spacing w:val="1"/>
          <w:sz w:val="16"/>
        </w:rPr>
        <w:t>de</w:t>
      </w:r>
      <w:r>
        <w:rPr>
          <w:spacing w:val="-2"/>
          <w:sz w:val="16"/>
        </w:rPr>
        <w:t> </w:t>
      </w:r>
      <w:r>
        <w:rPr>
          <w:sz w:val="16"/>
        </w:rPr>
        <w:t>construction).</w:t>
      </w:r>
    </w:p>
    <w:p>
      <w:pPr>
        <w:pStyle w:val="BodyText"/>
        <w:spacing w:before="1"/>
      </w:pPr>
    </w:p>
    <w:p>
      <w:pPr>
        <w:pStyle w:val="ListParagraph"/>
        <w:numPr>
          <w:ilvl w:val="2"/>
          <w:numId w:val="5"/>
        </w:numPr>
        <w:tabs>
          <w:tab w:pos="985" w:val="left" w:leader="none"/>
          <w:tab w:pos="986" w:val="left" w:leader="none"/>
        </w:tabs>
        <w:spacing w:line="240" w:lineRule="auto" w:before="0" w:after="0"/>
        <w:ind w:left="985" w:right="469" w:hanging="720"/>
        <w:jc w:val="left"/>
        <w:rPr>
          <w:sz w:val="16"/>
        </w:rPr>
      </w:pPr>
      <w:r>
        <w:rPr>
          <w:sz w:val="16"/>
        </w:rPr>
        <w:t>Évacuer</w:t>
      </w:r>
      <w:r>
        <w:rPr>
          <w:spacing w:val="-5"/>
          <w:sz w:val="16"/>
        </w:rPr>
        <w:t> </w:t>
      </w:r>
      <w:r>
        <w:rPr>
          <w:sz w:val="16"/>
        </w:rPr>
        <w:t>du</w:t>
      </w:r>
      <w:r>
        <w:rPr>
          <w:spacing w:val="-1"/>
          <w:sz w:val="16"/>
        </w:rPr>
        <w:t> </w:t>
      </w:r>
      <w:r>
        <w:rPr>
          <w:sz w:val="16"/>
        </w:rPr>
        <w:t>chantier</w:t>
      </w:r>
      <w:r>
        <w:rPr>
          <w:spacing w:val="-5"/>
          <w:sz w:val="16"/>
        </w:rPr>
        <w:t> </w:t>
      </w:r>
      <w:r>
        <w:rPr>
          <w:sz w:val="16"/>
        </w:rPr>
        <w:t>tous les</w:t>
      </w:r>
      <w:r>
        <w:rPr>
          <w:spacing w:val="-5"/>
          <w:sz w:val="16"/>
        </w:rPr>
        <w:t> </w:t>
      </w:r>
      <w:r>
        <w:rPr>
          <w:sz w:val="16"/>
        </w:rPr>
        <w:t>matériaux</w:t>
      </w:r>
      <w:r>
        <w:rPr>
          <w:spacing w:val="-5"/>
          <w:sz w:val="16"/>
        </w:rPr>
        <w:t> </w:t>
      </w:r>
      <w:r>
        <w:rPr>
          <w:sz w:val="16"/>
        </w:rPr>
        <w:t>d’emballage</w:t>
      </w:r>
      <w:r>
        <w:rPr>
          <w:spacing w:val="-3"/>
          <w:sz w:val="16"/>
        </w:rPr>
        <w:t> </w:t>
      </w:r>
      <w:r>
        <w:rPr>
          <w:sz w:val="16"/>
        </w:rPr>
        <w:t>et</w:t>
      </w:r>
      <w:r>
        <w:rPr>
          <w:spacing w:val="-2"/>
          <w:sz w:val="16"/>
        </w:rPr>
        <w:t> </w:t>
      </w:r>
      <w:r>
        <w:rPr>
          <w:sz w:val="16"/>
        </w:rPr>
        <w:t>les</w:t>
      </w:r>
      <w:r>
        <w:rPr>
          <w:spacing w:val="-5"/>
          <w:sz w:val="16"/>
        </w:rPr>
        <w:t> </w:t>
      </w:r>
      <w:r>
        <w:rPr>
          <w:sz w:val="16"/>
        </w:rPr>
        <w:t>acheminer</w:t>
      </w:r>
      <w:r>
        <w:rPr>
          <w:spacing w:val="-6"/>
          <w:sz w:val="16"/>
        </w:rPr>
        <w:t> </w:t>
      </w:r>
      <w:r>
        <w:rPr>
          <w:sz w:val="16"/>
        </w:rPr>
        <w:t>vers</w:t>
      </w:r>
      <w:r>
        <w:rPr>
          <w:spacing w:val="-5"/>
          <w:sz w:val="16"/>
        </w:rPr>
        <w:t> </w:t>
      </w:r>
      <w:r>
        <w:rPr>
          <w:sz w:val="16"/>
        </w:rPr>
        <w:t>des</w:t>
      </w:r>
      <w:r>
        <w:rPr>
          <w:spacing w:val="-5"/>
          <w:sz w:val="16"/>
        </w:rPr>
        <w:t> </w:t>
      </w:r>
      <w:r>
        <w:rPr>
          <w:sz w:val="16"/>
        </w:rPr>
        <w:t>installations</w:t>
      </w:r>
      <w:r>
        <w:rPr>
          <w:spacing w:val="-5"/>
          <w:sz w:val="16"/>
        </w:rPr>
        <w:t> </w:t>
      </w:r>
      <w:r>
        <w:rPr>
          <w:sz w:val="16"/>
        </w:rPr>
        <w:t>appropriées</w:t>
      </w:r>
      <w:r>
        <w:rPr>
          <w:spacing w:val="-5"/>
          <w:sz w:val="16"/>
        </w:rPr>
        <w:t> </w:t>
      </w:r>
      <w:r>
        <w:rPr>
          <w:spacing w:val="1"/>
          <w:sz w:val="16"/>
        </w:rPr>
        <w:t>de </w:t>
      </w:r>
      <w:r>
        <w:rPr>
          <w:sz w:val="16"/>
        </w:rPr>
        <w:t>recyclage.</w:t>
      </w:r>
    </w:p>
    <w:p>
      <w:pPr>
        <w:pStyle w:val="BodyText"/>
        <w:spacing w:before="2"/>
      </w:pPr>
    </w:p>
    <w:p>
      <w:pPr>
        <w:pStyle w:val="ListParagraph"/>
        <w:numPr>
          <w:ilvl w:val="2"/>
          <w:numId w:val="5"/>
        </w:numPr>
        <w:tabs>
          <w:tab w:pos="985" w:val="left" w:leader="none"/>
          <w:tab w:pos="986" w:val="left" w:leader="none"/>
        </w:tabs>
        <w:spacing w:line="240" w:lineRule="auto" w:before="0" w:after="0"/>
        <w:ind w:left="985" w:right="147" w:hanging="720"/>
        <w:jc w:val="left"/>
        <w:rPr>
          <w:sz w:val="16"/>
        </w:rPr>
      </w:pPr>
      <w:r>
        <w:rPr>
          <w:sz w:val="16"/>
        </w:rPr>
        <w:t>Récupérer et trier les emballages et les déposer dans les bennes appropriées disposées sur place à fin </w:t>
      </w:r>
      <w:r>
        <w:rPr>
          <w:spacing w:val="5"/>
          <w:sz w:val="16"/>
        </w:rPr>
        <w:t>de </w:t>
      </w:r>
      <w:r>
        <w:rPr>
          <w:sz w:val="16"/>
        </w:rPr>
        <w:t>recyclage, conformément au plan </w:t>
      </w:r>
      <w:r>
        <w:rPr>
          <w:spacing w:val="1"/>
          <w:sz w:val="16"/>
        </w:rPr>
        <w:t>de </w:t>
      </w:r>
      <w:r>
        <w:rPr>
          <w:sz w:val="16"/>
        </w:rPr>
        <w:t>gestion des</w:t>
      </w:r>
      <w:r>
        <w:rPr>
          <w:spacing w:val="-9"/>
          <w:sz w:val="16"/>
        </w:rPr>
        <w:t> </w:t>
      </w:r>
      <w:r>
        <w:rPr>
          <w:sz w:val="16"/>
        </w:rPr>
        <w:t>déchets.</w:t>
      </w:r>
    </w:p>
    <w:p>
      <w:pPr>
        <w:pStyle w:val="BodyText"/>
        <w:spacing w:before="10"/>
        <w:rPr>
          <w:sz w:val="15"/>
        </w:rPr>
      </w:pPr>
    </w:p>
    <w:p>
      <w:pPr>
        <w:pStyle w:val="ListParagraph"/>
        <w:numPr>
          <w:ilvl w:val="2"/>
          <w:numId w:val="5"/>
        </w:numPr>
        <w:tabs>
          <w:tab w:pos="985" w:val="left" w:leader="none"/>
          <w:tab w:pos="986" w:val="left" w:leader="none"/>
        </w:tabs>
        <w:spacing w:line="240" w:lineRule="auto" w:before="0" w:after="0"/>
        <w:ind w:left="985" w:right="756" w:hanging="720"/>
        <w:jc w:val="left"/>
        <w:rPr>
          <w:sz w:val="16"/>
        </w:rPr>
      </w:pPr>
      <w:r>
        <w:rPr>
          <w:sz w:val="16"/>
        </w:rPr>
        <w:t>Approuvé</w:t>
      </w:r>
      <w:r>
        <w:rPr>
          <w:spacing w:val="-7"/>
          <w:sz w:val="16"/>
        </w:rPr>
        <w:t> </w:t>
      </w:r>
      <w:r>
        <w:rPr>
          <w:sz w:val="16"/>
        </w:rPr>
        <w:t>par</w:t>
      </w:r>
      <w:r>
        <w:rPr>
          <w:spacing w:val="-4"/>
          <w:sz w:val="16"/>
        </w:rPr>
        <w:t> </w:t>
      </w:r>
      <w:r>
        <w:rPr>
          <w:sz w:val="16"/>
        </w:rPr>
        <w:t>le</w:t>
      </w:r>
      <w:r>
        <w:rPr>
          <w:spacing w:val="-7"/>
          <w:sz w:val="16"/>
        </w:rPr>
        <w:t> </w:t>
      </w:r>
      <w:r>
        <w:rPr>
          <w:sz w:val="16"/>
        </w:rPr>
        <w:t>chargé</w:t>
      </w:r>
      <w:r>
        <w:rPr>
          <w:spacing w:val="-7"/>
          <w:sz w:val="16"/>
        </w:rPr>
        <w:t> </w:t>
      </w:r>
      <w:r>
        <w:rPr>
          <w:sz w:val="16"/>
        </w:rPr>
        <w:t>de</w:t>
      </w:r>
      <w:r>
        <w:rPr>
          <w:spacing w:val="-2"/>
          <w:sz w:val="16"/>
        </w:rPr>
        <w:t> </w:t>
      </w:r>
      <w:r>
        <w:rPr>
          <w:sz w:val="16"/>
        </w:rPr>
        <w:t>projet,</w:t>
      </w:r>
      <w:r>
        <w:rPr>
          <w:spacing w:val="-5"/>
          <w:sz w:val="16"/>
        </w:rPr>
        <w:t> </w:t>
      </w:r>
      <w:r>
        <w:rPr>
          <w:sz w:val="16"/>
        </w:rPr>
        <w:t>acheminer</w:t>
      </w:r>
      <w:r>
        <w:rPr>
          <w:spacing w:val="0"/>
          <w:sz w:val="16"/>
        </w:rPr>
        <w:t> </w:t>
      </w:r>
      <w:r>
        <w:rPr>
          <w:sz w:val="16"/>
        </w:rPr>
        <w:t>les</w:t>
      </w:r>
      <w:r>
        <w:rPr>
          <w:spacing w:val="0"/>
          <w:sz w:val="16"/>
        </w:rPr>
        <w:t> </w:t>
      </w:r>
      <w:r>
        <w:rPr>
          <w:sz w:val="16"/>
        </w:rPr>
        <w:t>éléments</w:t>
      </w:r>
      <w:r>
        <w:rPr>
          <w:spacing w:val="-4"/>
          <w:sz w:val="16"/>
        </w:rPr>
        <w:t> </w:t>
      </w:r>
      <w:r>
        <w:rPr>
          <w:sz w:val="16"/>
        </w:rPr>
        <w:t>métalliques</w:t>
      </w:r>
      <w:r>
        <w:rPr>
          <w:spacing w:val="-4"/>
          <w:sz w:val="16"/>
        </w:rPr>
        <w:t> </w:t>
      </w:r>
      <w:r>
        <w:rPr>
          <w:sz w:val="16"/>
        </w:rPr>
        <w:t>inutilisés</w:t>
      </w:r>
      <w:r>
        <w:rPr>
          <w:spacing w:val="-4"/>
          <w:sz w:val="16"/>
        </w:rPr>
        <w:t> </w:t>
      </w:r>
      <w:r>
        <w:rPr>
          <w:sz w:val="16"/>
        </w:rPr>
        <w:t>vers</w:t>
      </w:r>
      <w:r>
        <w:rPr>
          <w:spacing w:val="0"/>
          <w:sz w:val="16"/>
        </w:rPr>
        <w:t> </w:t>
      </w:r>
      <w:r>
        <w:rPr>
          <w:sz w:val="16"/>
        </w:rPr>
        <w:t>une</w:t>
      </w:r>
      <w:r>
        <w:rPr>
          <w:spacing w:val="-7"/>
          <w:sz w:val="16"/>
        </w:rPr>
        <w:t> </w:t>
      </w:r>
      <w:r>
        <w:rPr>
          <w:sz w:val="16"/>
        </w:rPr>
        <w:t>installation</w:t>
      </w:r>
      <w:r>
        <w:rPr>
          <w:spacing w:val="-5"/>
          <w:sz w:val="16"/>
        </w:rPr>
        <w:t> </w:t>
      </w:r>
      <w:r>
        <w:rPr>
          <w:spacing w:val="1"/>
          <w:sz w:val="16"/>
        </w:rPr>
        <w:t>de </w:t>
      </w:r>
      <w:r>
        <w:rPr>
          <w:sz w:val="16"/>
        </w:rPr>
        <w:t>recyclage </w:t>
      </w:r>
      <w:r>
        <w:rPr>
          <w:spacing w:val="1"/>
          <w:sz w:val="16"/>
        </w:rPr>
        <w:t>du</w:t>
      </w:r>
      <w:r>
        <w:rPr>
          <w:spacing w:val="-7"/>
          <w:sz w:val="16"/>
        </w:rPr>
        <w:t> </w:t>
      </w:r>
      <w:r>
        <w:rPr>
          <w:sz w:val="16"/>
        </w:rPr>
        <w:t>métal.</w:t>
      </w:r>
    </w:p>
    <w:p>
      <w:pPr>
        <w:pStyle w:val="BodyText"/>
        <w:spacing w:before="1"/>
      </w:pPr>
    </w:p>
    <w:p>
      <w:pPr>
        <w:pStyle w:val="ListParagraph"/>
        <w:numPr>
          <w:ilvl w:val="2"/>
          <w:numId w:val="5"/>
        </w:numPr>
        <w:tabs>
          <w:tab w:pos="985" w:val="left" w:leader="none"/>
          <w:tab w:pos="986" w:val="left" w:leader="none"/>
        </w:tabs>
        <w:spacing w:line="240" w:lineRule="auto" w:before="1" w:after="0"/>
        <w:ind w:left="985" w:right="147" w:hanging="720"/>
        <w:jc w:val="left"/>
        <w:rPr>
          <w:sz w:val="16"/>
        </w:rPr>
      </w:pPr>
      <w:r>
        <w:rPr>
          <w:sz w:val="16"/>
        </w:rPr>
        <w:t>Il est interdit de déverser les produits d’étanchéité inutilisés dans les égouts, dans un cours d’eau, dans un lac, sur le sol ou à tout autre endroit où cela pourrait présenter un risque pour la santé ou</w:t>
      </w:r>
      <w:r>
        <w:rPr>
          <w:spacing w:val="33"/>
          <w:sz w:val="16"/>
        </w:rPr>
        <w:t> </w:t>
      </w:r>
      <w:r>
        <w:rPr>
          <w:sz w:val="16"/>
        </w:rPr>
        <w:t>pour l’environnement.</w:t>
      </w:r>
    </w:p>
    <w:p>
      <w:pPr>
        <w:pStyle w:val="BodyText"/>
        <w:spacing w:before="5"/>
      </w:pPr>
    </w:p>
    <w:p>
      <w:pPr>
        <w:pStyle w:val="ListParagraph"/>
        <w:numPr>
          <w:ilvl w:val="2"/>
          <w:numId w:val="5"/>
        </w:numPr>
        <w:tabs>
          <w:tab w:pos="985" w:val="left" w:leader="none"/>
          <w:tab w:pos="986" w:val="left" w:leader="none"/>
        </w:tabs>
        <w:spacing w:line="235" w:lineRule="auto" w:before="0" w:after="0"/>
        <w:ind w:left="985" w:right="185" w:hanging="720"/>
        <w:jc w:val="left"/>
        <w:rPr>
          <w:sz w:val="16"/>
        </w:rPr>
      </w:pPr>
      <w:r>
        <w:rPr>
          <w:sz w:val="16"/>
        </w:rPr>
        <w:t>Approuvé</w:t>
      </w:r>
      <w:r>
        <w:rPr>
          <w:spacing w:val="-6"/>
          <w:sz w:val="16"/>
        </w:rPr>
        <w:t> </w:t>
      </w:r>
      <w:r>
        <w:rPr>
          <w:sz w:val="16"/>
        </w:rPr>
        <w:t>par</w:t>
      </w:r>
      <w:r>
        <w:rPr>
          <w:spacing w:val="-4"/>
          <w:sz w:val="16"/>
        </w:rPr>
        <w:t> </w:t>
      </w:r>
      <w:r>
        <w:rPr>
          <w:sz w:val="16"/>
        </w:rPr>
        <w:t>le</w:t>
      </w:r>
      <w:r>
        <w:rPr>
          <w:spacing w:val="-6"/>
          <w:sz w:val="16"/>
        </w:rPr>
        <w:t> </w:t>
      </w:r>
      <w:r>
        <w:rPr>
          <w:sz w:val="16"/>
        </w:rPr>
        <w:t>chargé</w:t>
      </w:r>
      <w:r>
        <w:rPr>
          <w:spacing w:val="-6"/>
          <w:sz w:val="16"/>
        </w:rPr>
        <w:t> </w:t>
      </w:r>
      <w:r>
        <w:rPr>
          <w:sz w:val="16"/>
        </w:rPr>
        <w:t>du</w:t>
      </w:r>
      <w:r>
        <w:rPr>
          <w:spacing w:val="-4"/>
          <w:sz w:val="16"/>
        </w:rPr>
        <w:t> </w:t>
      </w:r>
      <w:r>
        <w:rPr>
          <w:sz w:val="16"/>
        </w:rPr>
        <w:t>projet,</w:t>
      </w:r>
      <w:r>
        <w:rPr>
          <w:spacing w:val="-4"/>
          <w:sz w:val="16"/>
        </w:rPr>
        <w:t> </w:t>
      </w:r>
      <w:r>
        <w:rPr>
          <w:sz w:val="16"/>
        </w:rPr>
        <w:t>acheminer</w:t>
      </w:r>
      <w:r>
        <w:rPr>
          <w:spacing w:val="0"/>
          <w:sz w:val="16"/>
        </w:rPr>
        <w:t> </w:t>
      </w:r>
      <w:r>
        <w:rPr>
          <w:sz w:val="16"/>
        </w:rPr>
        <w:t>les</w:t>
      </w:r>
      <w:r>
        <w:rPr>
          <w:spacing w:val="-4"/>
          <w:sz w:val="16"/>
        </w:rPr>
        <w:t> </w:t>
      </w:r>
      <w:r>
        <w:rPr>
          <w:sz w:val="16"/>
        </w:rPr>
        <w:t>produits</w:t>
      </w:r>
      <w:r>
        <w:rPr>
          <w:spacing w:val="-4"/>
          <w:sz w:val="16"/>
        </w:rPr>
        <w:t> </w:t>
      </w:r>
      <w:r>
        <w:rPr>
          <w:sz w:val="16"/>
        </w:rPr>
        <w:t>d’étanchéité</w:t>
      </w:r>
      <w:r>
        <w:rPr>
          <w:spacing w:val="-7"/>
          <w:sz w:val="16"/>
        </w:rPr>
        <w:t> </w:t>
      </w:r>
      <w:r>
        <w:rPr>
          <w:sz w:val="16"/>
        </w:rPr>
        <w:t>inutilisés</w:t>
      </w:r>
      <w:r>
        <w:rPr>
          <w:spacing w:val="-4"/>
          <w:sz w:val="16"/>
        </w:rPr>
        <w:t> </w:t>
      </w:r>
      <w:r>
        <w:rPr>
          <w:sz w:val="16"/>
        </w:rPr>
        <w:t>vers</w:t>
      </w:r>
      <w:r>
        <w:rPr>
          <w:spacing w:val="-4"/>
          <w:sz w:val="16"/>
        </w:rPr>
        <w:t> </w:t>
      </w:r>
      <w:r>
        <w:rPr>
          <w:sz w:val="16"/>
        </w:rPr>
        <w:t>un</w:t>
      </w:r>
      <w:r>
        <w:rPr>
          <w:spacing w:val="-4"/>
          <w:sz w:val="16"/>
        </w:rPr>
        <w:t> </w:t>
      </w:r>
      <w:r>
        <w:rPr>
          <w:sz w:val="16"/>
        </w:rPr>
        <w:t>site</w:t>
      </w:r>
      <w:r>
        <w:rPr>
          <w:spacing w:val="-6"/>
          <w:sz w:val="16"/>
        </w:rPr>
        <w:t> </w:t>
      </w:r>
      <w:r>
        <w:rPr>
          <w:sz w:val="16"/>
        </w:rPr>
        <w:t>agréé</w:t>
      </w:r>
      <w:r>
        <w:rPr>
          <w:spacing w:val="-2"/>
          <w:sz w:val="16"/>
        </w:rPr>
        <w:t> </w:t>
      </w:r>
      <w:r>
        <w:rPr>
          <w:sz w:val="16"/>
        </w:rPr>
        <w:t>de</w:t>
      </w:r>
      <w:r>
        <w:rPr>
          <w:spacing w:val="-2"/>
          <w:sz w:val="16"/>
        </w:rPr>
        <w:t> </w:t>
      </w:r>
      <w:r>
        <w:rPr>
          <w:sz w:val="16"/>
        </w:rPr>
        <w:t>collecte de matières</w:t>
      </w:r>
      <w:r>
        <w:rPr>
          <w:spacing w:val="-6"/>
          <w:sz w:val="16"/>
        </w:rPr>
        <w:t> </w:t>
      </w:r>
      <w:r>
        <w:rPr>
          <w:sz w:val="16"/>
        </w:rPr>
        <w:t>dangereuses.</w:t>
      </w:r>
    </w:p>
    <w:p>
      <w:pPr>
        <w:pStyle w:val="BodyText"/>
        <w:spacing w:before="1"/>
      </w:pPr>
    </w:p>
    <w:p>
      <w:pPr>
        <w:pStyle w:val="ListParagraph"/>
        <w:numPr>
          <w:ilvl w:val="2"/>
          <w:numId w:val="5"/>
        </w:numPr>
        <w:tabs>
          <w:tab w:pos="985" w:val="left" w:leader="none"/>
          <w:tab w:pos="986" w:val="left" w:leader="none"/>
        </w:tabs>
        <w:spacing w:line="240" w:lineRule="auto" w:before="0" w:after="0"/>
        <w:ind w:left="985" w:right="0" w:hanging="720"/>
        <w:jc w:val="left"/>
        <w:rPr>
          <w:sz w:val="16"/>
        </w:rPr>
      </w:pPr>
      <w:r>
        <w:rPr>
          <w:sz w:val="16"/>
        </w:rPr>
        <w:t>Plier les feuilles métalliques inutilisées, les aplatir et les placer aux endroits désignés en vue de</w:t>
      </w:r>
      <w:r>
        <w:rPr>
          <w:spacing w:val="-23"/>
          <w:sz w:val="16"/>
        </w:rPr>
        <w:t> </w:t>
      </w:r>
      <w:r>
        <w:rPr>
          <w:sz w:val="16"/>
        </w:rPr>
        <w:t>recyclage.</w:t>
      </w:r>
    </w:p>
    <w:p>
      <w:pPr>
        <w:pStyle w:val="BodyText"/>
        <w:rPr>
          <w:sz w:val="18"/>
        </w:rPr>
      </w:pPr>
    </w:p>
    <w:p>
      <w:pPr>
        <w:pStyle w:val="BodyText"/>
        <w:spacing w:before="12"/>
        <w:rPr>
          <w:sz w:val="13"/>
        </w:rPr>
      </w:pPr>
    </w:p>
    <w:p>
      <w:pPr>
        <w:pStyle w:val="Heading1"/>
        <w:spacing w:after="19"/>
        <w:rPr>
          <w:i/>
        </w:rPr>
      </w:pPr>
      <w:r>
        <w:rPr>
          <w:i/>
        </w:rPr>
        <w:t>Partie 2 - PRODUITS</w:t>
      </w:r>
    </w:p>
    <w:p>
      <w:pPr>
        <w:pStyle w:val="BodyText"/>
        <w:spacing w:line="20" w:lineRule="exact"/>
        <w:ind w:left="111"/>
        <w:rPr>
          <w:sz w:val="2"/>
        </w:rPr>
      </w:pPr>
      <w:r>
        <w:rPr>
          <w:sz w:val="2"/>
        </w:rPr>
        <w:pict>
          <v:group style="width:473.3pt;height:.5pt;mso-position-horizontal-relative:char;mso-position-vertical-relative:line" coordorigin="0,0" coordsize="9466,10">
            <v:line style="position:absolute" from="0,5" to="9466,5" stroked="true" strokeweight=".48pt" strokecolor="#000000">
              <v:stroke dashstyle="solid"/>
            </v:line>
          </v:group>
        </w:pict>
      </w:r>
      <w:r>
        <w:rPr>
          <w:sz w:val="2"/>
        </w:rPr>
      </w:r>
    </w:p>
    <w:p>
      <w:pPr>
        <w:pStyle w:val="Heading2"/>
        <w:numPr>
          <w:ilvl w:val="1"/>
          <w:numId w:val="6"/>
        </w:numPr>
        <w:tabs>
          <w:tab w:pos="482" w:val="left" w:leader="none"/>
        </w:tabs>
        <w:spacing w:line="240" w:lineRule="auto" w:before="187" w:after="0"/>
        <w:ind w:left="481" w:right="0" w:hanging="336"/>
        <w:jc w:val="left"/>
      </w:pPr>
      <w:r>
        <w:rPr/>
        <w:t>MATÉRIAUX ET</w:t>
      </w:r>
      <w:r>
        <w:rPr>
          <w:spacing w:val="-5"/>
        </w:rPr>
        <w:t> </w:t>
      </w:r>
      <w:r>
        <w:rPr/>
        <w:t>MATÉRIEL</w:t>
      </w:r>
    </w:p>
    <w:p>
      <w:pPr>
        <w:pStyle w:val="ListParagraph"/>
        <w:numPr>
          <w:ilvl w:val="2"/>
          <w:numId w:val="6"/>
        </w:numPr>
        <w:tabs>
          <w:tab w:pos="660" w:val="left" w:leader="none"/>
        </w:tabs>
        <w:spacing w:line="240" w:lineRule="auto" w:before="198" w:after="0"/>
        <w:ind w:left="659" w:right="0" w:hanging="394"/>
        <w:jc w:val="left"/>
        <w:rPr>
          <w:sz w:val="16"/>
        </w:rPr>
      </w:pPr>
      <w:r>
        <w:rPr>
          <w:sz w:val="16"/>
          <w:u w:val="single"/>
        </w:rPr>
        <w:t>Panneaux en acier :</w:t>
      </w:r>
    </w:p>
    <w:p>
      <w:pPr>
        <w:pStyle w:val="BodyText"/>
        <w:spacing w:before="1"/>
      </w:pPr>
    </w:p>
    <w:p>
      <w:pPr>
        <w:pStyle w:val="ListParagraph"/>
        <w:numPr>
          <w:ilvl w:val="3"/>
          <w:numId w:val="6"/>
        </w:numPr>
        <w:tabs>
          <w:tab w:pos="794" w:val="left" w:leader="none"/>
        </w:tabs>
        <w:spacing w:line="240" w:lineRule="auto" w:before="0" w:after="0"/>
        <w:ind w:left="265" w:right="1159" w:firstLine="0"/>
        <w:jc w:val="left"/>
        <w:rPr>
          <w:sz w:val="16"/>
        </w:rPr>
      </w:pPr>
      <w:r>
        <w:rPr>
          <w:sz w:val="16"/>
        </w:rPr>
        <w:t>Produit</w:t>
      </w:r>
      <w:r>
        <w:rPr>
          <w:spacing w:val="-4"/>
          <w:sz w:val="16"/>
        </w:rPr>
        <w:t> </w:t>
      </w:r>
      <w:r>
        <w:rPr>
          <w:sz w:val="16"/>
        </w:rPr>
        <w:t>de</w:t>
      </w:r>
      <w:r>
        <w:rPr>
          <w:spacing w:val="-6"/>
          <w:sz w:val="16"/>
        </w:rPr>
        <w:t> </w:t>
      </w:r>
      <w:r>
        <w:rPr>
          <w:sz w:val="16"/>
        </w:rPr>
        <w:t>référence</w:t>
      </w:r>
      <w:r>
        <w:rPr>
          <w:spacing w:val="-2"/>
          <w:sz w:val="16"/>
        </w:rPr>
        <w:t> </w:t>
      </w:r>
      <w:r>
        <w:rPr>
          <w:sz w:val="16"/>
        </w:rPr>
        <w:t>:</w:t>
      </w:r>
      <w:r>
        <w:rPr>
          <w:spacing w:val="-4"/>
          <w:sz w:val="16"/>
        </w:rPr>
        <w:t> </w:t>
      </w:r>
      <w:r>
        <w:rPr>
          <w:sz w:val="16"/>
        </w:rPr>
        <w:t>profilé</w:t>
      </w:r>
      <w:r>
        <w:rPr>
          <w:spacing w:val="-6"/>
          <w:sz w:val="16"/>
        </w:rPr>
        <w:t> </w:t>
      </w:r>
      <w:r>
        <w:rPr>
          <w:spacing w:val="1"/>
          <w:sz w:val="16"/>
        </w:rPr>
        <w:t>de</w:t>
      </w:r>
      <w:r>
        <w:rPr>
          <w:spacing w:val="-6"/>
          <w:sz w:val="16"/>
        </w:rPr>
        <w:t> </w:t>
      </w:r>
      <w:r>
        <w:rPr>
          <w:sz w:val="16"/>
        </w:rPr>
        <w:t>revêtement</w:t>
      </w:r>
      <w:r>
        <w:rPr>
          <w:spacing w:val="-1"/>
          <w:sz w:val="16"/>
        </w:rPr>
        <w:t> </w:t>
      </w:r>
      <w:r>
        <w:rPr>
          <w:sz w:val="16"/>
        </w:rPr>
        <w:t>de</w:t>
      </w:r>
      <w:r>
        <w:rPr>
          <w:spacing w:val="-2"/>
          <w:sz w:val="16"/>
        </w:rPr>
        <w:t> </w:t>
      </w:r>
      <w:r>
        <w:rPr>
          <w:sz w:val="16"/>
        </w:rPr>
        <w:t>type</w:t>
      </w:r>
      <w:r>
        <w:rPr>
          <w:spacing w:val="-2"/>
          <w:sz w:val="16"/>
        </w:rPr>
        <w:t> </w:t>
      </w:r>
      <w:r>
        <w:rPr>
          <w:sz w:val="16"/>
        </w:rPr>
        <w:t>Soffite</w:t>
      </w:r>
      <w:r>
        <w:rPr>
          <w:spacing w:val="-2"/>
          <w:sz w:val="16"/>
        </w:rPr>
        <w:t> </w:t>
      </w:r>
      <w:r>
        <w:rPr>
          <w:sz w:val="16"/>
        </w:rPr>
        <w:t>(MS</w:t>
      </w:r>
      <w:r>
        <w:rPr>
          <w:spacing w:val="-2"/>
          <w:sz w:val="16"/>
        </w:rPr>
        <w:t> </w:t>
      </w:r>
      <w:r>
        <w:rPr>
          <w:sz w:val="16"/>
        </w:rPr>
        <w:t>750)</w:t>
      </w:r>
      <w:r>
        <w:rPr>
          <w:spacing w:val="-5"/>
          <w:sz w:val="16"/>
        </w:rPr>
        <w:t> </w:t>
      </w:r>
      <w:r>
        <w:rPr>
          <w:sz w:val="16"/>
        </w:rPr>
        <w:t>du fabricant</w:t>
      </w:r>
      <w:r>
        <w:rPr>
          <w:spacing w:val="-4"/>
          <w:sz w:val="16"/>
        </w:rPr>
        <w:t> </w:t>
      </w:r>
      <w:r>
        <w:rPr>
          <w:sz w:val="16"/>
        </w:rPr>
        <w:t>MAC</w:t>
      </w:r>
      <w:r>
        <w:rPr>
          <w:spacing w:val="-3"/>
          <w:sz w:val="16"/>
        </w:rPr>
        <w:t> </w:t>
      </w:r>
      <w:r>
        <w:rPr>
          <w:sz w:val="16"/>
        </w:rPr>
        <w:t>(MAC</w:t>
      </w:r>
      <w:r>
        <w:rPr>
          <w:spacing w:val="0"/>
          <w:sz w:val="16"/>
        </w:rPr>
        <w:t> </w:t>
      </w:r>
      <w:r>
        <w:rPr>
          <w:sz w:val="16"/>
        </w:rPr>
        <w:t>Métal Architectural) ou équivalent approuvé par</w:t>
      </w:r>
      <w:r>
        <w:rPr>
          <w:spacing w:val="-9"/>
          <w:sz w:val="16"/>
        </w:rPr>
        <w:t> </w:t>
      </w:r>
      <w:r>
        <w:rPr>
          <w:sz w:val="16"/>
        </w:rPr>
        <w:t>architecte.</w:t>
      </w:r>
    </w:p>
    <w:p>
      <w:pPr>
        <w:pStyle w:val="BodyText"/>
        <w:spacing w:before="1"/>
      </w:pPr>
    </w:p>
    <w:p>
      <w:pPr>
        <w:pStyle w:val="ListParagraph"/>
        <w:numPr>
          <w:ilvl w:val="4"/>
          <w:numId w:val="6"/>
        </w:numPr>
        <w:tabs>
          <w:tab w:pos="1071" w:val="left" w:leader="none"/>
          <w:tab w:pos="1072" w:val="left" w:leader="none"/>
        </w:tabs>
        <w:spacing w:line="235" w:lineRule="exact" w:before="0" w:after="0"/>
        <w:ind w:left="1071" w:right="0" w:hanging="360"/>
        <w:jc w:val="left"/>
        <w:rPr>
          <w:sz w:val="16"/>
        </w:rPr>
      </w:pPr>
      <w:r>
        <w:rPr>
          <w:sz w:val="16"/>
        </w:rPr>
        <w:t>Quatre bandes longitudinales </w:t>
      </w:r>
      <w:r>
        <w:rPr>
          <w:spacing w:val="1"/>
          <w:sz w:val="16"/>
        </w:rPr>
        <w:t>de </w:t>
      </w:r>
      <w:r>
        <w:rPr>
          <w:sz w:val="16"/>
        </w:rPr>
        <w:t>perforation de type points</w:t>
      </w:r>
      <w:r>
        <w:rPr>
          <w:spacing w:val="-21"/>
          <w:sz w:val="16"/>
        </w:rPr>
        <w:t> </w:t>
      </w:r>
      <w:r>
        <w:rPr>
          <w:sz w:val="16"/>
        </w:rPr>
        <w:t>surélevés</w:t>
      </w:r>
    </w:p>
    <w:p>
      <w:pPr>
        <w:pStyle w:val="ListParagraph"/>
        <w:numPr>
          <w:ilvl w:val="4"/>
          <w:numId w:val="6"/>
        </w:numPr>
        <w:tabs>
          <w:tab w:pos="1071" w:val="left" w:leader="none"/>
          <w:tab w:pos="1072" w:val="left" w:leader="none"/>
        </w:tabs>
        <w:spacing w:line="226" w:lineRule="exact" w:before="0" w:after="0"/>
        <w:ind w:left="1071" w:right="0" w:hanging="360"/>
        <w:jc w:val="left"/>
        <w:rPr>
          <w:sz w:val="16"/>
        </w:rPr>
      </w:pPr>
      <w:r>
        <w:rPr>
          <w:sz w:val="16"/>
        </w:rPr>
        <w:t>Largeur du profilé (surface couvrante) 20.375po</w:t>
      </w:r>
      <w:r>
        <w:rPr>
          <w:spacing w:val="-1"/>
          <w:sz w:val="16"/>
        </w:rPr>
        <w:t> </w:t>
      </w:r>
      <w:r>
        <w:rPr>
          <w:sz w:val="16"/>
        </w:rPr>
        <w:t>(518mm)</w:t>
      </w:r>
    </w:p>
    <w:p>
      <w:pPr>
        <w:pStyle w:val="ListParagraph"/>
        <w:numPr>
          <w:ilvl w:val="4"/>
          <w:numId w:val="6"/>
        </w:numPr>
        <w:tabs>
          <w:tab w:pos="1071" w:val="left" w:leader="none"/>
          <w:tab w:pos="1072" w:val="left" w:leader="none"/>
        </w:tabs>
        <w:spacing w:line="226" w:lineRule="exact" w:before="0" w:after="0"/>
        <w:ind w:left="1071" w:right="0" w:hanging="360"/>
        <w:jc w:val="left"/>
        <w:rPr>
          <w:sz w:val="16"/>
        </w:rPr>
      </w:pPr>
      <w:r>
        <w:rPr>
          <w:sz w:val="16"/>
        </w:rPr>
        <w:t>Longueurs assorties sur mesure selon les plans et les</w:t>
      </w:r>
      <w:r>
        <w:rPr>
          <w:spacing w:val="0"/>
          <w:sz w:val="16"/>
        </w:rPr>
        <w:t> </w:t>
      </w:r>
      <w:r>
        <w:rPr>
          <w:sz w:val="16"/>
        </w:rPr>
        <w:t>devis</w:t>
      </w:r>
    </w:p>
    <w:p>
      <w:pPr>
        <w:pStyle w:val="ListParagraph"/>
        <w:numPr>
          <w:ilvl w:val="4"/>
          <w:numId w:val="6"/>
        </w:numPr>
        <w:tabs>
          <w:tab w:pos="1071" w:val="left" w:leader="none"/>
          <w:tab w:pos="1072" w:val="left" w:leader="none"/>
        </w:tabs>
        <w:spacing w:line="235" w:lineRule="exact" w:before="0" w:after="0"/>
        <w:ind w:left="1071" w:right="0" w:hanging="360"/>
        <w:jc w:val="left"/>
        <w:rPr>
          <w:sz w:val="16"/>
        </w:rPr>
      </w:pPr>
      <w:r>
        <w:rPr>
          <w:sz w:val="16"/>
        </w:rPr>
        <w:t>Profondeur (épaisseur des panneaux) -11/16</w:t>
      </w:r>
      <w:r>
        <w:rPr>
          <w:spacing w:val="-11"/>
          <w:sz w:val="16"/>
        </w:rPr>
        <w:t> </w:t>
      </w:r>
      <w:r>
        <w:rPr>
          <w:sz w:val="16"/>
        </w:rPr>
        <w:t>po(17.5mm)</w:t>
      </w:r>
    </w:p>
    <w:p>
      <w:pPr>
        <w:pStyle w:val="ListParagraph"/>
        <w:numPr>
          <w:ilvl w:val="3"/>
          <w:numId w:val="6"/>
        </w:numPr>
        <w:tabs>
          <w:tab w:pos="794" w:val="left" w:leader="none"/>
        </w:tabs>
        <w:spacing w:line="240" w:lineRule="auto" w:before="175" w:after="0"/>
        <w:ind w:left="265" w:right="339" w:firstLine="0"/>
        <w:jc w:val="left"/>
        <w:rPr>
          <w:sz w:val="16"/>
        </w:rPr>
      </w:pPr>
      <w:r>
        <w:rPr>
          <w:sz w:val="16"/>
        </w:rPr>
        <w:t>Fabriqué en acier galvanisé selon la norme ASTM 653M de nuance 230 d’acier galvanisé de qualité structurale grade 33, avec revêtement de zinc </w:t>
      </w:r>
      <w:r>
        <w:rPr>
          <w:spacing w:val="1"/>
          <w:sz w:val="16"/>
        </w:rPr>
        <w:t>de </w:t>
      </w:r>
      <w:r>
        <w:rPr>
          <w:sz w:val="16"/>
        </w:rPr>
        <w:t>Z275 galvanisé, tel que désigné par la norme ASTM</w:t>
      </w:r>
      <w:r>
        <w:rPr>
          <w:spacing w:val="-27"/>
          <w:sz w:val="16"/>
        </w:rPr>
        <w:t> </w:t>
      </w:r>
      <w:r>
        <w:rPr>
          <w:sz w:val="16"/>
        </w:rPr>
        <w:t>A653M.</w:t>
      </w:r>
    </w:p>
    <w:p>
      <w:pPr>
        <w:pStyle w:val="BodyText"/>
        <w:spacing w:before="1"/>
      </w:pPr>
    </w:p>
    <w:p>
      <w:pPr>
        <w:pStyle w:val="ListParagraph"/>
        <w:numPr>
          <w:ilvl w:val="3"/>
          <w:numId w:val="7"/>
        </w:numPr>
        <w:tabs>
          <w:tab w:pos="794" w:val="left" w:leader="none"/>
        </w:tabs>
        <w:spacing w:line="240" w:lineRule="auto" w:before="0" w:after="0"/>
        <w:ind w:left="265" w:right="0" w:firstLine="0"/>
        <w:jc w:val="left"/>
        <w:rPr>
          <w:sz w:val="16"/>
        </w:rPr>
      </w:pPr>
      <w:r>
        <w:rPr>
          <w:sz w:val="16"/>
        </w:rPr>
        <w:t>Fini</w:t>
      </w:r>
      <w:r>
        <w:rPr>
          <w:spacing w:val="-1"/>
          <w:sz w:val="16"/>
        </w:rPr>
        <w:t> </w:t>
      </w:r>
      <w:r>
        <w:rPr>
          <w:sz w:val="16"/>
        </w:rPr>
        <w:t>:</w:t>
      </w:r>
    </w:p>
    <w:p>
      <w:pPr>
        <w:pStyle w:val="BodyText"/>
        <w:spacing w:before="1"/>
      </w:pPr>
    </w:p>
    <w:p>
      <w:pPr>
        <w:pStyle w:val="BodyText"/>
        <w:spacing w:before="1"/>
        <w:ind w:left="265"/>
      </w:pPr>
      <w:r>
        <w:rPr/>
        <w:t>À spécifier parmi les couleurs de :</w:t>
      </w:r>
    </w:p>
    <w:p>
      <w:pPr>
        <w:pStyle w:val="BodyText"/>
        <w:rPr>
          <w:sz w:val="18"/>
        </w:rPr>
      </w:pPr>
    </w:p>
    <w:p>
      <w:pPr>
        <w:pStyle w:val="BodyText"/>
        <w:spacing w:before="9"/>
        <w:rPr>
          <w:sz w:val="13"/>
        </w:rPr>
      </w:pPr>
    </w:p>
    <w:p>
      <w:pPr>
        <w:pStyle w:val="ListParagraph"/>
        <w:numPr>
          <w:ilvl w:val="4"/>
          <w:numId w:val="7"/>
        </w:numPr>
        <w:tabs>
          <w:tab w:pos="866" w:val="left" w:leader="none"/>
        </w:tabs>
        <w:spacing w:line="240" w:lineRule="auto" w:before="0" w:after="0"/>
        <w:ind w:left="865" w:right="148" w:hanging="360"/>
        <w:jc w:val="both"/>
        <w:rPr>
          <w:sz w:val="16"/>
        </w:rPr>
      </w:pPr>
      <w:r>
        <w:rPr>
          <w:sz w:val="16"/>
        </w:rPr>
        <w:t>Les couleurs </w:t>
      </w:r>
      <w:r>
        <w:rPr>
          <w:spacing w:val="1"/>
          <w:sz w:val="16"/>
        </w:rPr>
        <w:t>de </w:t>
      </w:r>
      <w:r>
        <w:rPr>
          <w:sz w:val="16"/>
        </w:rPr>
        <w:t>la COLLECTION SIGNATURE dans le calibre 24 telles que les couleurs : Zinc Quartz, Zinc Brossé, Zinc Anthracite, Bronze Renaissance sont fabriquées en système de peinture TEXTURAL IV (système de couleur à base de</w:t>
      </w:r>
      <w:r>
        <w:rPr>
          <w:spacing w:val="-8"/>
          <w:sz w:val="16"/>
        </w:rPr>
        <w:t> </w:t>
      </w:r>
      <w:r>
        <w:rPr>
          <w:sz w:val="16"/>
        </w:rPr>
        <w:t>PVDF)</w:t>
      </w:r>
    </w:p>
    <w:p>
      <w:pPr>
        <w:pStyle w:val="BodyText"/>
        <w:spacing w:before="2"/>
      </w:pPr>
    </w:p>
    <w:p>
      <w:pPr>
        <w:pStyle w:val="ListParagraph"/>
        <w:numPr>
          <w:ilvl w:val="4"/>
          <w:numId w:val="7"/>
        </w:numPr>
        <w:tabs>
          <w:tab w:pos="865" w:val="left" w:leader="none"/>
          <w:tab w:pos="866" w:val="left" w:leader="none"/>
        </w:tabs>
        <w:spacing w:line="240" w:lineRule="auto" w:before="1" w:after="0"/>
        <w:ind w:left="865" w:right="700" w:hanging="360"/>
        <w:jc w:val="left"/>
        <w:rPr>
          <w:sz w:val="16"/>
        </w:rPr>
      </w:pPr>
      <w:r>
        <w:rPr>
          <w:sz w:val="16"/>
        </w:rPr>
        <w:t>Les couleurs de</w:t>
      </w:r>
      <w:r>
        <w:rPr>
          <w:spacing w:val="-3"/>
          <w:sz w:val="16"/>
        </w:rPr>
        <w:t> </w:t>
      </w:r>
      <w:r>
        <w:rPr>
          <w:sz w:val="16"/>
        </w:rPr>
        <w:t>la</w:t>
      </w:r>
      <w:r>
        <w:rPr>
          <w:spacing w:val="-3"/>
          <w:sz w:val="16"/>
        </w:rPr>
        <w:t> </w:t>
      </w:r>
      <w:r>
        <w:rPr>
          <w:sz w:val="16"/>
        </w:rPr>
        <w:t>COLLECTION</w:t>
      </w:r>
      <w:r>
        <w:rPr>
          <w:spacing w:val="-3"/>
          <w:sz w:val="16"/>
        </w:rPr>
        <w:t> </w:t>
      </w:r>
      <w:r>
        <w:rPr>
          <w:sz w:val="16"/>
        </w:rPr>
        <w:t>INSPIRATION</w:t>
      </w:r>
      <w:r>
        <w:rPr>
          <w:spacing w:val="-7"/>
          <w:sz w:val="16"/>
        </w:rPr>
        <w:t> </w:t>
      </w:r>
      <w:r>
        <w:rPr>
          <w:sz w:val="16"/>
        </w:rPr>
        <w:t>dans le</w:t>
      </w:r>
      <w:r>
        <w:rPr>
          <w:spacing w:val="-3"/>
          <w:sz w:val="16"/>
        </w:rPr>
        <w:t> </w:t>
      </w:r>
      <w:r>
        <w:rPr>
          <w:sz w:val="16"/>
        </w:rPr>
        <w:t>calibre</w:t>
      </w:r>
      <w:r>
        <w:rPr>
          <w:spacing w:val="-7"/>
          <w:sz w:val="16"/>
        </w:rPr>
        <w:t> </w:t>
      </w:r>
      <w:r>
        <w:rPr>
          <w:sz w:val="16"/>
        </w:rPr>
        <w:t>24</w:t>
      </w:r>
      <w:r>
        <w:rPr>
          <w:spacing w:val="-7"/>
          <w:sz w:val="16"/>
        </w:rPr>
        <w:t> </w:t>
      </w:r>
      <w:r>
        <w:rPr>
          <w:sz w:val="16"/>
        </w:rPr>
        <w:t>telles</w:t>
      </w:r>
      <w:r>
        <w:rPr>
          <w:spacing w:val="-5"/>
          <w:sz w:val="16"/>
        </w:rPr>
        <w:t> </w:t>
      </w:r>
      <w:r>
        <w:rPr>
          <w:sz w:val="16"/>
        </w:rPr>
        <w:t>que</w:t>
      </w:r>
      <w:r>
        <w:rPr>
          <w:spacing w:val="-3"/>
          <w:sz w:val="16"/>
        </w:rPr>
        <w:t> </w:t>
      </w:r>
      <w:r>
        <w:rPr>
          <w:sz w:val="16"/>
        </w:rPr>
        <w:t>:</w:t>
      </w:r>
      <w:r>
        <w:rPr>
          <w:spacing w:val="-1"/>
          <w:sz w:val="16"/>
        </w:rPr>
        <w:t> </w:t>
      </w:r>
      <w:r>
        <w:rPr>
          <w:sz w:val="16"/>
        </w:rPr>
        <w:t>Noir</w:t>
      </w:r>
      <w:r>
        <w:rPr>
          <w:spacing w:val="-5"/>
          <w:sz w:val="16"/>
        </w:rPr>
        <w:t> </w:t>
      </w:r>
      <w:r>
        <w:rPr>
          <w:sz w:val="16"/>
        </w:rPr>
        <w:t>Titane</w:t>
      </w:r>
      <w:r>
        <w:rPr>
          <w:spacing w:val="-3"/>
          <w:sz w:val="16"/>
        </w:rPr>
        <w:t> </w:t>
      </w:r>
      <w:r>
        <w:rPr>
          <w:sz w:val="16"/>
        </w:rPr>
        <w:t>et</w:t>
      </w:r>
      <w:r>
        <w:rPr>
          <w:spacing w:val="-6"/>
          <w:sz w:val="16"/>
        </w:rPr>
        <w:t> </w:t>
      </w:r>
      <w:r>
        <w:rPr>
          <w:sz w:val="16"/>
        </w:rPr>
        <w:t>Blanc</w:t>
      </w:r>
      <w:r>
        <w:rPr>
          <w:spacing w:val="-2"/>
          <w:sz w:val="16"/>
        </w:rPr>
        <w:t> </w:t>
      </w:r>
      <w:r>
        <w:rPr>
          <w:sz w:val="16"/>
        </w:rPr>
        <w:t>Titane.</w:t>
      </w:r>
      <w:r>
        <w:rPr>
          <w:spacing w:val="-6"/>
          <w:sz w:val="16"/>
        </w:rPr>
        <w:t> </w:t>
      </w:r>
      <w:r>
        <w:rPr>
          <w:sz w:val="16"/>
        </w:rPr>
        <w:t>sont fabriquées en système </w:t>
      </w:r>
      <w:r>
        <w:rPr>
          <w:spacing w:val="1"/>
          <w:sz w:val="16"/>
        </w:rPr>
        <w:t>de </w:t>
      </w:r>
      <w:r>
        <w:rPr>
          <w:sz w:val="16"/>
        </w:rPr>
        <w:t>peinture TEXTURAL IV (système de couleur à base </w:t>
      </w:r>
      <w:r>
        <w:rPr>
          <w:spacing w:val="1"/>
          <w:sz w:val="16"/>
        </w:rPr>
        <w:t>de</w:t>
      </w:r>
      <w:r>
        <w:rPr>
          <w:spacing w:val="-31"/>
          <w:sz w:val="16"/>
        </w:rPr>
        <w:t> </w:t>
      </w:r>
      <w:r>
        <w:rPr>
          <w:sz w:val="16"/>
        </w:rPr>
        <w:t>PVDF)</w:t>
      </w:r>
    </w:p>
    <w:p>
      <w:pPr>
        <w:pStyle w:val="BodyText"/>
        <w:spacing w:before="9"/>
        <w:rPr>
          <w:sz w:val="15"/>
        </w:rPr>
      </w:pPr>
    </w:p>
    <w:p>
      <w:pPr>
        <w:pStyle w:val="ListParagraph"/>
        <w:numPr>
          <w:ilvl w:val="4"/>
          <w:numId w:val="7"/>
        </w:numPr>
        <w:tabs>
          <w:tab w:pos="865" w:val="left" w:leader="none"/>
          <w:tab w:pos="866" w:val="left" w:leader="none"/>
        </w:tabs>
        <w:spacing w:line="240" w:lineRule="auto" w:before="0" w:after="0"/>
        <w:ind w:left="865" w:right="354" w:hanging="360"/>
        <w:jc w:val="left"/>
        <w:rPr>
          <w:sz w:val="16"/>
        </w:rPr>
      </w:pPr>
      <w:r>
        <w:rPr>
          <w:sz w:val="16"/>
        </w:rPr>
        <w:t>Cependant</w:t>
      </w:r>
      <w:r>
        <w:rPr>
          <w:spacing w:val="-1"/>
          <w:sz w:val="16"/>
        </w:rPr>
        <w:t> </w:t>
      </w:r>
      <w:r>
        <w:rPr>
          <w:sz w:val="16"/>
        </w:rPr>
        <w:t>le</w:t>
      </w:r>
      <w:r>
        <w:rPr>
          <w:spacing w:val="-2"/>
          <w:sz w:val="16"/>
        </w:rPr>
        <w:t> </w:t>
      </w:r>
      <w:r>
        <w:rPr>
          <w:sz w:val="16"/>
        </w:rPr>
        <w:t>Gris</w:t>
      </w:r>
      <w:r>
        <w:rPr>
          <w:spacing w:val="-4"/>
          <w:sz w:val="16"/>
        </w:rPr>
        <w:t> </w:t>
      </w:r>
      <w:r>
        <w:rPr>
          <w:sz w:val="16"/>
        </w:rPr>
        <w:t>Métallique</w:t>
      </w:r>
      <w:r>
        <w:rPr>
          <w:spacing w:val="-2"/>
          <w:sz w:val="16"/>
        </w:rPr>
        <w:t> </w:t>
      </w:r>
      <w:r>
        <w:rPr>
          <w:sz w:val="16"/>
        </w:rPr>
        <w:t>est</w:t>
      </w:r>
      <w:r>
        <w:rPr>
          <w:spacing w:val="-6"/>
          <w:sz w:val="16"/>
        </w:rPr>
        <w:t> </w:t>
      </w:r>
      <w:r>
        <w:rPr>
          <w:sz w:val="16"/>
        </w:rPr>
        <w:t>fabriqué</w:t>
      </w:r>
      <w:r>
        <w:rPr>
          <w:spacing w:val="-2"/>
          <w:sz w:val="16"/>
        </w:rPr>
        <w:t> </w:t>
      </w:r>
      <w:r>
        <w:rPr>
          <w:sz w:val="16"/>
        </w:rPr>
        <w:t>en</w:t>
      </w:r>
      <w:r>
        <w:rPr>
          <w:spacing w:val="-1"/>
          <w:sz w:val="16"/>
        </w:rPr>
        <w:t> </w:t>
      </w:r>
      <w:r>
        <w:rPr>
          <w:sz w:val="16"/>
        </w:rPr>
        <w:t>système</w:t>
      </w:r>
      <w:r>
        <w:rPr>
          <w:spacing w:val="-7"/>
          <w:sz w:val="16"/>
        </w:rPr>
        <w:t> </w:t>
      </w:r>
      <w:r>
        <w:rPr>
          <w:spacing w:val="1"/>
          <w:sz w:val="16"/>
        </w:rPr>
        <w:t>de</w:t>
      </w:r>
      <w:r>
        <w:rPr>
          <w:spacing w:val="-7"/>
          <w:sz w:val="16"/>
        </w:rPr>
        <w:t> </w:t>
      </w:r>
      <w:r>
        <w:rPr>
          <w:sz w:val="16"/>
        </w:rPr>
        <w:t>peinture</w:t>
      </w:r>
      <w:r>
        <w:rPr>
          <w:spacing w:val="-7"/>
          <w:sz w:val="16"/>
        </w:rPr>
        <w:t> </w:t>
      </w:r>
      <w:r>
        <w:rPr>
          <w:sz w:val="16"/>
        </w:rPr>
        <w:t>TEXTURAL</w:t>
      </w:r>
      <w:r>
        <w:rPr>
          <w:spacing w:val="-1"/>
          <w:sz w:val="16"/>
        </w:rPr>
        <w:t> </w:t>
      </w:r>
      <w:r>
        <w:rPr>
          <w:sz w:val="16"/>
        </w:rPr>
        <w:t>III</w:t>
      </w:r>
      <w:r>
        <w:rPr>
          <w:spacing w:val="-7"/>
          <w:sz w:val="16"/>
        </w:rPr>
        <w:t> </w:t>
      </w:r>
      <w:r>
        <w:rPr>
          <w:sz w:val="16"/>
        </w:rPr>
        <w:t>(système</w:t>
      </w:r>
      <w:r>
        <w:rPr>
          <w:spacing w:val="-7"/>
          <w:sz w:val="16"/>
        </w:rPr>
        <w:t> </w:t>
      </w:r>
      <w:r>
        <w:rPr>
          <w:spacing w:val="1"/>
          <w:sz w:val="16"/>
        </w:rPr>
        <w:t>de</w:t>
      </w:r>
      <w:r>
        <w:rPr>
          <w:spacing w:val="-7"/>
          <w:sz w:val="16"/>
        </w:rPr>
        <w:t> </w:t>
      </w:r>
      <w:r>
        <w:rPr>
          <w:sz w:val="16"/>
        </w:rPr>
        <w:t>couleur</w:t>
      </w:r>
      <w:r>
        <w:rPr>
          <w:spacing w:val="-4"/>
          <w:sz w:val="16"/>
        </w:rPr>
        <w:t> </w:t>
      </w:r>
      <w:r>
        <w:rPr>
          <w:sz w:val="16"/>
        </w:rPr>
        <w:t>à</w:t>
      </w:r>
      <w:r>
        <w:rPr>
          <w:spacing w:val="-2"/>
          <w:sz w:val="16"/>
        </w:rPr>
        <w:t> </w:t>
      </w:r>
      <w:r>
        <w:rPr>
          <w:sz w:val="16"/>
        </w:rPr>
        <w:t>base</w:t>
      </w:r>
      <w:r>
        <w:rPr>
          <w:spacing w:val="-2"/>
          <w:sz w:val="16"/>
        </w:rPr>
        <w:t> </w:t>
      </w:r>
      <w:r>
        <w:rPr>
          <w:sz w:val="16"/>
        </w:rPr>
        <w:t>de polyuréthanes)</w:t>
      </w:r>
    </w:p>
    <w:p>
      <w:pPr>
        <w:pStyle w:val="BodyText"/>
        <w:spacing w:before="2"/>
      </w:pPr>
    </w:p>
    <w:p>
      <w:pPr>
        <w:pStyle w:val="BodyText"/>
        <w:ind w:left="145" w:right="3347"/>
      </w:pPr>
      <w:r>
        <w:rPr/>
        <w:t>En acier prépeint sur une base d’acier galvanisé G90 (Z275), Grade 33 Collection des couleurs- SIGNATURE et INSPIRATION</w:t>
      </w:r>
    </w:p>
    <w:p>
      <w:pPr>
        <w:spacing w:after="0"/>
        <w:sectPr>
          <w:pgSz w:w="12240" w:h="15840"/>
          <w:pgMar w:header="515" w:footer="1467" w:top="1320" w:bottom="1660" w:left="1280" w:right="1260"/>
        </w:sectPr>
      </w:pPr>
    </w:p>
    <w:p>
      <w:pPr>
        <w:pStyle w:val="ListParagraph"/>
        <w:numPr>
          <w:ilvl w:val="3"/>
          <w:numId w:val="7"/>
        </w:numPr>
        <w:tabs>
          <w:tab w:pos="794" w:val="left" w:leader="none"/>
        </w:tabs>
        <w:spacing w:line="240" w:lineRule="auto" w:before="93" w:after="0"/>
        <w:ind w:left="265" w:right="0" w:firstLine="0"/>
        <w:jc w:val="left"/>
        <w:rPr>
          <w:sz w:val="16"/>
        </w:rPr>
      </w:pPr>
      <w:r>
        <w:rPr>
          <w:sz w:val="16"/>
        </w:rPr>
        <w:t>Épaisseur</w:t>
      </w:r>
      <w:r>
        <w:rPr>
          <w:spacing w:val="-2"/>
          <w:sz w:val="16"/>
        </w:rPr>
        <w:t> </w:t>
      </w:r>
      <w:r>
        <w:rPr>
          <w:sz w:val="16"/>
        </w:rPr>
        <w:t>nominale</w:t>
      </w:r>
    </w:p>
    <w:p>
      <w:pPr>
        <w:pStyle w:val="BodyText"/>
        <w:spacing w:before="1"/>
      </w:pPr>
    </w:p>
    <w:p>
      <w:pPr>
        <w:pStyle w:val="ListParagraph"/>
        <w:numPr>
          <w:ilvl w:val="4"/>
          <w:numId w:val="7"/>
        </w:numPr>
        <w:tabs>
          <w:tab w:pos="985" w:val="left" w:leader="none"/>
          <w:tab w:pos="986" w:val="left" w:leader="none"/>
        </w:tabs>
        <w:spacing w:line="240" w:lineRule="auto" w:before="1" w:after="0"/>
        <w:ind w:left="985" w:right="0" w:hanging="360"/>
        <w:jc w:val="left"/>
        <w:rPr>
          <w:sz w:val="16"/>
        </w:rPr>
      </w:pPr>
      <w:r>
        <w:rPr>
          <w:sz w:val="16"/>
        </w:rPr>
        <w:t>0,46mm (jauge 26) pour les revêtements des couleurs </w:t>
      </w:r>
      <w:r>
        <w:rPr>
          <w:spacing w:val="1"/>
          <w:sz w:val="16"/>
        </w:rPr>
        <w:t>de </w:t>
      </w:r>
      <w:r>
        <w:rPr>
          <w:sz w:val="16"/>
        </w:rPr>
        <w:t>la COLLECTION</w:t>
      </w:r>
      <w:r>
        <w:rPr>
          <w:spacing w:val="-9"/>
          <w:sz w:val="16"/>
        </w:rPr>
        <w:t> </w:t>
      </w:r>
      <w:r>
        <w:rPr>
          <w:sz w:val="16"/>
        </w:rPr>
        <w:t>BOIS.</w:t>
      </w:r>
    </w:p>
    <w:p>
      <w:pPr>
        <w:pStyle w:val="BodyText"/>
        <w:spacing w:before="1"/>
      </w:pPr>
    </w:p>
    <w:p>
      <w:pPr>
        <w:pStyle w:val="ListParagraph"/>
        <w:numPr>
          <w:ilvl w:val="4"/>
          <w:numId w:val="7"/>
        </w:numPr>
        <w:tabs>
          <w:tab w:pos="985" w:val="left" w:leader="none"/>
          <w:tab w:pos="986" w:val="left" w:leader="none"/>
        </w:tabs>
        <w:spacing w:line="240" w:lineRule="auto" w:before="0" w:after="0"/>
        <w:ind w:left="985" w:right="0" w:hanging="360"/>
        <w:jc w:val="left"/>
        <w:rPr>
          <w:sz w:val="16"/>
        </w:rPr>
      </w:pPr>
      <w:r>
        <w:rPr>
          <w:sz w:val="16"/>
        </w:rPr>
        <w:t>0,61 mm (jauge 24) pour les revêtements des couleurs des COLLECTIONS SIGNATURE et</w:t>
      </w:r>
      <w:r>
        <w:rPr>
          <w:spacing w:val="-9"/>
          <w:sz w:val="16"/>
        </w:rPr>
        <w:t> </w:t>
      </w:r>
      <w:r>
        <w:rPr>
          <w:sz w:val="16"/>
        </w:rPr>
        <w:t>INSPIRATION.</w:t>
      </w:r>
    </w:p>
    <w:p>
      <w:pPr>
        <w:pStyle w:val="BodyText"/>
        <w:spacing w:before="8"/>
        <w:rPr>
          <w:sz w:val="15"/>
        </w:rPr>
      </w:pPr>
    </w:p>
    <w:p>
      <w:pPr>
        <w:pStyle w:val="ListParagraph"/>
        <w:numPr>
          <w:ilvl w:val="3"/>
          <w:numId w:val="7"/>
        </w:numPr>
        <w:tabs>
          <w:tab w:pos="794" w:val="left" w:leader="none"/>
        </w:tabs>
        <w:spacing w:line="240" w:lineRule="auto" w:before="0" w:after="0"/>
        <w:ind w:left="265" w:right="475" w:firstLine="0"/>
        <w:jc w:val="left"/>
        <w:rPr>
          <w:sz w:val="16"/>
        </w:rPr>
      </w:pPr>
      <w:r>
        <w:rPr>
          <w:sz w:val="16"/>
        </w:rPr>
        <w:t>Accessoires :</w:t>
      </w:r>
      <w:r>
        <w:rPr>
          <w:spacing w:val="-5"/>
          <w:sz w:val="16"/>
        </w:rPr>
        <w:t> </w:t>
      </w:r>
      <w:r>
        <w:rPr>
          <w:sz w:val="16"/>
        </w:rPr>
        <w:t>moulure</w:t>
      </w:r>
      <w:r>
        <w:rPr>
          <w:spacing w:val="-7"/>
          <w:sz w:val="16"/>
        </w:rPr>
        <w:t> </w:t>
      </w:r>
      <w:r>
        <w:rPr>
          <w:spacing w:val="1"/>
          <w:sz w:val="16"/>
        </w:rPr>
        <w:t>de</w:t>
      </w:r>
      <w:r>
        <w:rPr>
          <w:spacing w:val="-7"/>
          <w:sz w:val="16"/>
        </w:rPr>
        <w:t> </w:t>
      </w:r>
      <w:r>
        <w:rPr>
          <w:sz w:val="16"/>
        </w:rPr>
        <w:t>finition</w:t>
      </w:r>
      <w:r>
        <w:rPr>
          <w:spacing w:val="-1"/>
          <w:sz w:val="16"/>
        </w:rPr>
        <w:t> </w:t>
      </w:r>
      <w:r>
        <w:rPr>
          <w:sz w:val="16"/>
        </w:rPr>
        <w:t>telle</w:t>
      </w:r>
      <w:r>
        <w:rPr>
          <w:spacing w:val="-7"/>
          <w:sz w:val="16"/>
        </w:rPr>
        <w:t> </w:t>
      </w:r>
      <w:r>
        <w:rPr>
          <w:sz w:val="16"/>
        </w:rPr>
        <w:t>que</w:t>
      </w:r>
      <w:r>
        <w:rPr>
          <w:spacing w:val="-3"/>
          <w:sz w:val="16"/>
        </w:rPr>
        <w:t> </w:t>
      </w:r>
      <w:r>
        <w:rPr>
          <w:sz w:val="16"/>
        </w:rPr>
        <w:t>les</w:t>
      </w:r>
      <w:r>
        <w:rPr>
          <w:spacing w:val="-4"/>
          <w:sz w:val="16"/>
        </w:rPr>
        <w:t> </w:t>
      </w:r>
      <w:r>
        <w:rPr>
          <w:sz w:val="16"/>
        </w:rPr>
        <w:t>pièces</w:t>
      </w:r>
      <w:r>
        <w:rPr>
          <w:spacing w:val="-4"/>
          <w:sz w:val="16"/>
        </w:rPr>
        <w:t> </w:t>
      </w:r>
      <w:r>
        <w:rPr>
          <w:sz w:val="16"/>
        </w:rPr>
        <w:t>d’angles</w:t>
      </w:r>
      <w:r>
        <w:rPr>
          <w:spacing w:val="-4"/>
          <w:sz w:val="16"/>
        </w:rPr>
        <w:t> </w:t>
      </w:r>
      <w:r>
        <w:rPr>
          <w:sz w:val="16"/>
        </w:rPr>
        <w:t>rentrants et</w:t>
      </w:r>
      <w:r>
        <w:rPr>
          <w:spacing w:val="-5"/>
          <w:sz w:val="16"/>
        </w:rPr>
        <w:t> </w:t>
      </w:r>
      <w:r>
        <w:rPr>
          <w:sz w:val="16"/>
        </w:rPr>
        <w:t>saillants,</w:t>
      </w:r>
      <w:r>
        <w:rPr>
          <w:spacing w:val="-5"/>
          <w:sz w:val="16"/>
        </w:rPr>
        <w:t> </w:t>
      </w:r>
      <w:r>
        <w:rPr>
          <w:sz w:val="16"/>
        </w:rPr>
        <w:t>solins</w:t>
      </w:r>
      <w:r>
        <w:rPr>
          <w:spacing w:val="-4"/>
          <w:sz w:val="16"/>
        </w:rPr>
        <w:t> </w:t>
      </w:r>
      <w:r>
        <w:rPr>
          <w:spacing w:val="1"/>
          <w:sz w:val="16"/>
        </w:rPr>
        <w:t>de</w:t>
      </w:r>
      <w:r>
        <w:rPr>
          <w:spacing w:val="-3"/>
          <w:sz w:val="16"/>
        </w:rPr>
        <w:t> </w:t>
      </w:r>
      <w:r>
        <w:rPr>
          <w:sz w:val="16"/>
        </w:rPr>
        <w:t>couronnement</w:t>
      </w:r>
      <w:r>
        <w:rPr>
          <w:spacing w:val="-2"/>
          <w:sz w:val="16"/>
        </w:rPr>
        <w:t> </w:t>
      </w:r>
      <w:r>
        <w:rPr>
          <w:sz w:val="16"/>
        </w:rPr>
        <w:t>et larmiers, bandes de départ et garnitures et des ouvertures </w:t>
      </w:r>
      <w:r>
        <w:rPr>
          <w:spacing w:val="1"/>
          <w:sz w:val="16"/>
        </w:rPr>
        <w:t>du </w:t>
      </w:r>
      <w:r>
        <w:rPr>
          <w:sz w:val="16"/>
        </w:rPr>
        <w:t>même fini que le</w:t>
      </w:r>
      <w:r>
        <w:rPr>
          <w:spacing w:val="-12"/>
          <w:sz w:val="16"/>
        </w:rPr>
        <w:t> </w:t>
      </w:r>
      <w:r>
        <w:rPr>
          <w:sz w:val="16"/>
        </w:rPr>
        <w:t>parement.</w:t>
      </w:r>
    </w:p>
    <w:p>
      <w:pPr>
        <w:pStyle w:val="BodyText"/>
        <w:spacing w:before="2"/>
      </w:pPr>
    </w:p>
    <w:p>
      <w:pPr>
        <w:pStyle w:val="ListParagraph"/>
        <w:numPr>
          <w:ilvl w:val="3"/>
          <w:numId w:val="7"/>
        </w:numPr>
        <w:tabs>
          <w:tab w:pos="794" w:val="left" w:leader="none"/>
        </w:tabs>
        <w:spacing w:line="240" w:lineRule="auto" w:before="0" w:after="0"/>
        <w:ind w:left="265" w:right="0" w:firstLine="0"/>
        <w:jc w:val="left"/>
        <w:rPr>
          <w:sz w:val="16"/>
        </w:rPr>
      </w:pPr>
      <w:r>
        <w:rPr>
          <w:sz w:val="16"/>
        </w:rPr>
        <w:t>Fixations : conforme aux recommandations du manufacturier MAC.</w:t>
      </w:r>
    </w:p>
    <w:p>
      <w:pPr>
        <w:pStyle w:val="BodyText"/>
      </w:pPr>
    </w:p>
    <w:p>
      <w:pPr>
        <w:pStyle w:val="Heading2"/>
        <w:numPr>
          <w:ilvl w:val="1"/>
          <w:numId w:val="7"/>
        </w:numPr>
        <w:tabs>
          <w:tab w:pos="486" w:val="left" w:leader="none"/>
        </w:tabs>
        <w:spacing w:line="240" w:lineRule="auto" w:before="0" w:after="0"/>
        <w:ind w:left="485" w:right="0" w:hanging="340"/>
        <w:jc w:val="left"/>
      </w:pPr>
      <w:r>
        <w:rPr/>
        <w:t>ACCESSOIRES</w:t>
      </w:r>
    </w:p>
    <w:p>
      <w:pPr>
        <w:pStyle w:val="ListParagraph"/>
        <w:numPr>
          <w:ilvl w:val="2"/>
          <w:numId w:val="7"/>
        </w:numPr>
        <w:tabs>
          <w:tab w:pos="631" w:val="left" w:leader="none"/>
        </w:tabs>
        <w:spacing w:line="240" w:lineRule="auto" w:before="198" w:after="0"/>
        <w:ind w:left="630" w:right="0" w:hanging="399"/>
        <w:jc w:val="left"/>
        <w:rPr>
          <w:sz w:val="16"/>
        </w:rPr>
      </w:pPr>
      <w:r>
        <w:rPr>
          <w:sz w:val="16"/>
        </w:rPr>
        <w:t>Produits d’étanchéité dissimulés</w:t>
      </w:r>
      <w:r>
        <w:rPr>
          <w:spacing w:val="-2"/>
          <w:sz w:val="16"/>
        </w:rPr>
        <w:t> </w:t>
      </w:r>
      <w:r>
        <w:rPr>
          <w:sz w:val="16"/>
        </w:rPr>
        <w:t>:</w:t>
      </w:r>
    </w:p>
    <w:p>
      <w:pPr>
        <w:pStyle w:val="BodyText"/>
        <w:spacing w:before="9"/>
        <w:rPr>
          <w:sz w:val="15"/>
        </w:rPr>
      </w:pPr>
    </w:p>
    <w:p>
      <w:pPr>
        <w:pStyle w:val="ListParagraph"/>
        <w:numPr>
          <w:ilvl w:val="0"/>
          <w:numId w:val="8"/>
        </w:numPr>
        <w:tabs>
          <w:tab w:pos="865" w:val="left" w:leader="none"/>
          <w:tab w:pos="866" w:val="left" w:leader="none"/>
        </w:tabs>
        <w:spacing w:line="240" w:lineRule="auto" w:before="0" w:after="0"/>
        <w:ind w:left="865" w:right="0" w:hanging="360"/>
        <w:jc w:val="left"/>
        <w:rPr>
          <w:sz w:val="16"/>
        </w:rPr>
      </w:pPr>
      <w:r>
        <w:rPr>
          <w:sz w:val="16"/>
        </w:rPr>
        <w:t>ADSEAL DWS SÉRIE 4580 (SCELLANT ADHÉSIF SILICONE NEUTRE JOINTS DE PÉRIMÈTRE)</w:t>
      </w:r>
    </w:p>
    <w:p>
      <w:pPr>
        <w:pStyle w:val="ListParagraph"/>
        <w:numPr>
          <w:ilvl w:val="0"/>
          <w:numId w:val="8"/>
        </w:numPr>
        <w:tabs>
          <w:tab w:pos="865" w:val="left" w:leader="none"/>
          <w:tab w:pos="866" w:val="left" w:leader="none"/>
        </w:tabs>
        <w:spacing w:line="240" w:lineRule="auto" w:before="0" w:after="0"/>
        <w:ind w:left="865" w:right="0" w:hanging="360"/>
        <w:jc w:val="left"/>
        <w:rPr>
          <w:sz w:val="16"/>
        </w:rPr>
      </w:pPr>
      <w:r>
        <w:rPr>
          <w:sz w:val="16"/>
        </w:rPr>
        <w:t>Répond à la norme ASTM C920, S, NS, classe 50, usage NT, M, G A,</w:t>
      </w:r>
      <w:r>
        <w:rPr>
          <w:spacing w:val="1"/>
          <w:sz w:val="16"/>
        </w:rPr>
        <w:t> </w:t>
      </w:r>
      <w:r>
        <w:rPr>
          <w:sz w:val="16"/>
        </w:rPr>
        <w:t>O</w:t>
      </w:r>
    </w:p>
    <w:p>
      <w:pPr>
        <w:pStyle w:val="BodyText"/>
        <w:spacing w:before="1"/>
      </w:pPr>
    </w:p>
    <w:p>
      <w:pPr>
        <w:pStyle w:val="ListParagraph"/>
        <w:numPr>
          <w:ilvl w:val="2"/>
          <w:numId w:val="7"/>
        </w:numPr>
        <w:tabs>
          <w:tab w:pos="540" w:val="left" w:leader="none"/>
        </w:tabs>
        <w:spacing w:line="240" w:lineRule="auto" w:before="1" w:after="0"/>
        <w:ind w:left="539" w:right="0" w:hanging="394"/>
        <w:jc w:val="left"/>
        <w:rPr>
          <w:sz w:val="16"/>
        </w:rPr>
      </w:pPr>
      <w:r>
        <w:rPr>
          <w:sz w:val="16"/>
        </w:rPr>
        <w:t>Produits d’étanchéité apparents </w:t>
      </w:r>
      <w:r>
        <w:rPr>
          <w:spacing w:val="1"/>
          <w:sz w:val="16"/>
        </w:rPr>
        <w:t>de </w:t>
      </w:r>
      <w:r>
        <w:rPr>
          <w:sz w:val="16"/>
        </w:rPr>
        <w:t>MAC</w:t>
      </w:r>
      <w:r>
        <w:rPr>
          <w:spacing w:val="-9"/>
          <w:sz w:val="16"/>
        </w:rPr>
        <w:t> </w:t>
      </w:r>
      <w:r>
        <w:rPr>
          <w:sz w:val="16"/>
        </w:rPr>
        <w:t>:</w:t>
      </w:r>
    </w:p>
    <w:p>
      <w:pPr>
        <w:pStyle w:val="BodyText"/>
        <w:spacing w:before="1"/>
      </w:pPr>
    </w:p>
    <w:p>
      <w:pPr>
        <w:pStyle w:val="ListParagraph"/>
        <w:numPr>
          <w:ilvl w:val="0"/>
          <w:numId w:val="9"/>
        </w:numPr>
        <w:tabs>
          <w:tab w:pos="865" w:val="left" w:leader="none"/>
          <w:tab w:pos="866" w:val="left" w:leader="none"/>
        </w:tabs>
        <w:spacing w:line="240" w:lineRule="auto" w:before="0" w:after="0"/>
        <w:ind w:left="865" w:right="0" w:hanging="360"/>
        <w:jc w:val="left"/>
        <w:rPr>
          <w:sz w:val="16"/>
        </w:rPr>
      </w:pPr>
      <w:r>
        <w:rPr>
          <w:sz w:val="16"/>
        </w:rPr>
        <w:t>ADSEAL DWS SÉRIE 4580 (SCELLANT ADHÉSIF SILICONE NEUTRE JOINTS DE PÉRIMÈTRE)</w:t>
      </w:r>
    </w:p>
    <w:p>
      <w:pPr>
        <w:pStyle w:val="ListParagraph"/>
        <w:numPr>
          <w:ilvl w:val="0"/>
          <w:numId w:val="9"/>
        </w:numPr>
        <w:tabs>
          <w:tab w:pos="865" w:val="left" w:leader="none"/>
          <w:tab w:pos="866" w:val="left" w:leader="none"/>
        </w:tabs>
        <w:spacing w:line="194" w:lineRule="exact" w:before="0" w:after="0"/>
        <w:ind w:left="865" w:right="0" w:hanging="360"/>
        <w:jc w:val="left"/>
        <w:rPr>
          <w:sz w:val="16"/>
        </w:rPr>
      </w:pPr>
      <w:r>
        <w:rPr>
          <w:sz w:val="16"/>
        </w:rPr>
        <w:t>Répond à la norme ASTM C920, S, NS, classe 50, usage NT, M, G A,</w:t>
      </w:r>
      <w:r>
        <w:rPr>
          <w:spacing w:val="2"/>
          <w:sz w:val="16"/>
        </w:rPr>
        <w:t> </w:t>
      </w:r>
      <w:r>
        <w:rPr>
          <w:sz w:val="16"/>
        </w:rPr>
        <w:t>O</w:t>
      </w:r>
    </w:p>
    <w:p>
      <w:pPr>
        <w:pStyle w:val="BodyText"/>
        <w:spacing w:line="194" w:lineRule="exact"/>
        <w:ind w:left="145"/>
      </w:pPr>
      <w:r>
        <w:rPr>
          <w:w w:val="99"/>
        </w:rPr>
        <w:t>.</w:t>
      </w:r>
    </w:p>
    <w:p>
      <w:pPr>
        <w:pStyle w:val="BodyText"/>
        <w:spacing w:before="2"/>
      </w:pPr>
    </w:p>
    <w:p>
      <w:pPr>
        <w:pStyle w:val="BodyText"/>
        <w:ind w:left="265"/>
      </w:pPr>
      <w:r>
        <w:rPr/>
        <w:t>2.2. Pinceau de retouches MAC (MAC Métal Architectural) couleur s’harmonisant avec la couleur torréfiée.</w:t>
      </w:r>
    </w:p>
    <w:p>
      <w:pPr>
        <w:pStyle w:val="BodyText"/>
        <w:spacing w:before="1"/>
      </w:pPr>
    </w:p>
    <w:p>
      <w:pPr>
        <w:pStyle w:val="ListParagraph"/>
        <w:numPr>
          <w:ilvl w:val="2"/>
          <w:numId w:val="10"/>
        </w:numPr>
        <w:tabs>
          <w:tab w:pos="1047" w:val="left" w:leader="none"/>
          <w:tab w:pos="1048" w:val="left" w:leader="none"/>
        </w:tabs>
        <w:spacing w:line="240" w:lineRule="auto" w:before="0" w:after="0"/>
        <w:ind w:left="1047" w:right="0" w:hanging="720"/>
        <w:jc w:val="left"/>
        <w:rPr>
          <w:sz w:val="16"/>
        </w:rPr>
      </w:pPr>
      <w:r>
        <w:rPr>
          <w:sz w:val="16"/>
        </w:rPr>
        <w:t>Fixation du revêtement</w:t>
      </w:r>
      <w:r>
        <w:rPr>
          <w:spacing w:val="-8"/>
          <w:sz w:val="16"/>
        </w:rPr>
        <w:t> </w:t>
      </w:r>
      <w:r>
        <w:rPr>
          <w:sz w:val="16"/>
        </w:rPr>
        <w:t>d’acier.</w:t>
      </w:r>
    </w:p>
    <w:p>
      <w:pPr>
        <w:pStyle w:val="ListParagraph"/>
        <w:numPr>
          <w:ilvl w:val="3"/>
          <w:numId w:val="10"/>
        </w:numPr>
        <w:tabs>
          <w:tab w:pos="1494" w:val="left" w:leader="none"/>
          <w:tab w:pos="1495" w:val="left" w:leader="none"/>
        </w:tabs>
        <w:spacing w:line="240" w:lineRule="auto" w:before="1" w:after="0"/>
        <w:ind w:left="1494" w:right="146" w:hanging="1080"/>
        <w:jc w:val="both"/>
        <w:rPr>
          <w:sz w:val="16"/>
        </w:rPr>
      </w:pPr>
      <w:r>
        <w:rPr>
          <w:sz w:val="16"/>
        </w:rPr>
        <w:t>Moulures non apparentes : moulures (à l’exception des sous-entremises) et agrafes des solins </w:t>
      </w:r>
      <w:r>
        <w:rPr>
          <w:spacing w:val="5"/>
          <w:sz w:val="16"/>
        </w:rPr>
        <w:t>de </w:t>
      </w:r>
      <w:r>
        <w:rPr>
          <w:sz w:val="16"/>
        </w:rPr>
        <w:t>couronnement en acier prépeint de série TEXTURAL IV ou TEXTURAL III. Spécifier la même couleur que </w:t>
      </w:r>
      <w:r>
        <w:rPr>
          <w:spacing w:val="1"/>
          <w:sz w:val="16"/>
        </w:rPr>
        <w:t>le </w:t>
      </w:r>
      <w:r>
        <w:rPr>
          <w:sz w:val="16"/>
        </w:rPr>
        <w:t>profilé (MS750) parmi les couleurs </w:t>
      </w:r>
      <w:r>
        <w:rPr>
          <w:spacing w:val="1"/>
          <w:sz w:val="16"/>
        </w:rPr>
        <w:t>de </w:t>
      </w:r>
      <w:r>
        <w:rPr>
          <w:sz w:val="16"/>
        </w:rPr>
        <w:t>SIGNATURE ou INSPIRATION dans le calibre</w:t>
      </w:r>
      <w:r>
        <w:rPr>
          <w:spacing w:val="-16"/>
          <w:sz w:val="16"/>
        </w:rPr>
        <w:t> </w:t>
      </w:r>
      <w:r>
        <w:rPr>
          <w:sz w:val="16"/>
        </w:rPr>
        <w:t>26.</w:t>
      </w:r>
    </w:p>
    <w:p>
      <w:pPr>
        <w:pStyle w:val="BodyText"/>
        <w:spacing w:before="9"/>
        <w:rPr>
          <w:sz w:val="15"/>
        </w:rPr>
      </w:pPr>
    </w:p>
    <w:p>
      <w:pPr>
        <w:pStyle w:val="ListParagraph"/>
        <w:numPr>
          <w:ilvl w:val="3"/>
          <w:numId w:val="10"/>
        </w:numPr>
        <w:tabs>
          <w:tab w:pos="1494" w:val="left" w:leader="none"/>
          <w:tab w:pos="1495" w:val="left" w:leader="none"/>
        </w:tabs>
        <w:spacing w:line="240" w:lineRule="auto" w:before="1" w:after="0"/>
        <w:ind w:left="1494" w:right="0" w:hanging="1080"/>
        <w:jc w:val="left"/>
        <w:rPr>
          <w:sz w:val="16"/>
        </w:rPr>
      </w:pPr>
      <w:r>
        <w:rPr>
          <w:sz w:val="16"/>
        </w:rPr>
        <w:t>Moulure de départ standard du</w:t>
      </w:r>
      <w:r>
        <w:rPr>
          <w:spacing w:val="-9"/>
          <w:sz w:val="16"/>
        </w:rPr>
        <w:t> </w:t>
      </w:r>
      <w:r>
        <w:rPr>
          <w:sz w:val="16"/>
        </w:rPr>
        <w:t>manufacturier.</w:t>
      </w:r>
    </w:p>
    <w:p>
      <w:pPr>
        <w:pStyle w:val="BodyText"/>
        <w:spacing w:before="1"/>
      </w:pPr>
    </w:p>
    <w:p>
      <w:pPr>
        <w:pStyle w:val="ListParagraph"/>
        <w:numPr>
          <w:ilvl w:val="3"/>
          <w:numId w:val="10"/>
        </w:numPr>
        <w:tabs>
          <w:tab w:pos="1494" w:val="left" w:leader="none"/>
          <w:tab w:pos="1495" w:val="left" w:leader="none"/>
        </w:tabs>
        <w:spacing w:line="240" w:lineRule="auto" w:before="0" w:after="0"/>
        <w:ind w:left="1494" w:right="148" w:hanging="1080"/>
        <w:jc w:val="left"/>
        <w:rPr>
          <w:sz w:val="16"/>
        </w:rPr>
      </w:pPr>
      <w:r>
        <w:rPr>
          <w:sz w:val="16"/>
        </w:rPr>
        <w:t>Sous-entremises ajustables en acier (Z barre) de qualité A, à revêtement zingué de désignation G90, jauge 16, de dimensions selon les besoins et conditions </w:t>
      </w:r>
      <w:r>
        <w:rPr>
          <w:spacing w:val="1"/>
          <w:sz w:val="16"/>
        </w:rPr>
        <w:t>de</w:t>
      </w:r>
      <w:r>
        <w:rPr>
          <w:spacing w:val="-5"/>
          <w:sz w:val="16"/>
        </w:rPr>
        <w:t> </w:t>
      </w:r>
      <w:r>
        <w:rPr>
          <w:sz w:val="16"/>
        </w:rPr>
        <w:t>chantier.</w:t>
      </w:r>
    </w:p>
    <w:p>
      <w:pPr>
        <w:pStyle w:val="BodyText"/>
        <w:spacing w:before="5"/>
      </w:pPr>
    </w:p>
    <w:p>
      <w:pPr>
        <w:pStyle w:val="ListParagraph"/>
        <w:numPr>
          <w:ilvl w:val="3"/>
          <w:numId w:val="10"/>
        </w:numPr>
        <w:tabs>
          <w:tab w:pos="1494" w:val="left" w:leader="none"/>
          <w:tab w:pos="1495" w:val="left" w:leader="none"/>
        </w:tabs>
        <w:spacing w:line="235" w:lineRule="auto" w:before="0" w:after="0"/>
        <w:ind w:left="1494" w:right="149" w:hanging="1080"/>
        <w:jc w:val="left"/>
        <w:rPr>
          <w:sz w:val="16"/>
        </w:rPr>
      </w:pPr>
      <w:r>
        <w:rPr>
          <w:sz w:val="16"/>
        </w:rPr>
        <w:t>Fourrure en acier (Z barre ou Oméga) de qualité, à revêtement zingué de désignation G90, jauge 18 </w:t>
      </w:r>
      <w:r>
        <w:rPr>
          <w:spacing w:val="1"/>
          <w:sz w:val="16"/>
        </w:rPr>
        <w:t>ou </w:t>
      </w:r>
      <w:r>
        <w:rPr>
          <w:sz w:val="16"/>
        </w:rPr>
        <w:t>20, </w:t>
      </w:r>
      <w:r>
        <w:rPr>
          <w:spacing w:val="1"/>
          <w:sz w:val="16"/>
        </w:rPr>
        <w:t>de </w:t>
      </w:r>
      <w:r>
        <w:rPr>
          <w:sz w:val="16"/>
        </w:rPr>
        <w:t>dimensions selon les besoins et conditions de</w:t>
      </w:r>
      <w:r>
        <w:rPr>
          <w:spacing w:val="-6"/>
          <w:sz w:val="16"/>
        </w:rPr>
        <w:t> </w:t>
      </w:r>
      <w:r>
        <w:rPr>
          <w:sz w:val="16"/>
        </w:rPr>
        <w:t>chantier.</w:t>
      </w:r>
    </w:p>
    <w:p>
      <w:pPr>
        <w:pStyle w:val="BodyText"/>
        <w:spacing w:before="1"/>
      </w:pPr>
    </w:p>
    <w:p>
      <w:pPr>
        <w:pStyle w:val="BodyText"/>
        <w:spacing w:before="1"/>
        <w:ind w:left="145"/>
      </w:pPr>
      <w:r>
        <w:rPr/>
        <w:t>Vis apparentes – Métal :</w:t>
      </w:r>
    </w:p>
    <w:p>
      <w:pPr>
        <w:pStyle w:val="BodyText"/>
        <w:spacing w:before="1"/>
      </w:pPr>
    </w:p>
    <w:p>
      <w:pPr>
        <w:pStyle w:val="ListParagraph"/>
        <w:numPr>
          <w:ilvl w:val="4"/>
          <w:numId w:val="10"/>
        </w:numPr>
        <w:tabs>
          <w:tab w:pos="865" w:val="left" w:leader="none"/>
          <w:tab w:pos="866" w:val="left" w:leader="none"/>
        </w:tabs>
        <w:spacing w:line="240" w:lineRule="auto" w:before="0" w:after="0"/>
        <w:ind w:left="865" w:right="0" w:hanging="360"/>
        <w:jc w:val="left"/>
        <w:rPr>
          <w:sz w:val="16"/>
        </w:rPr>
      </w:pPr>
      <w:r>
        <w:rPr>
          <w:sz w:val="16"/>
        </w:rPr>
        <w:t>VIS</w:t>
      </w:r>
      <w:r>
        <w:rPr>
          <w:spacing w:val="-6"/>
          <w:sz w:val="16"/>
        </w:rPr>
        <w:t> </w:t>
      </w:r>
      <w:r>
        <w:rPr>
          <w:sz w:val="16"/>
        </w:rPr>
        <w:t>TEK</w:t>
      </w:r>
      <w:r>
        <w:rPr>
          <w:spacing w:val="-1"/>
          <w:sz w:val="16"/>
        </w:rPr>
        <w:t> </w:t>
      </w:r>
      <w:r>
        <w:rPr>
          <w:sz w:val="16"/>
        </w:rPr>
        <w:t>HWA</w:t>
      </w:r>
      <w:r>
        <w:rPr>
          <w:spacing w:val="-6"/>
          <w:sz w:val="16"/>
        </w:rPr>
        <w:t> </w:t>
      </w:r>
      <w:r>
        <w:rPr>
          <w:sz w:val="16"/>
        </w:rPr>
        <w:t>‘POLYSEAL’</w:t>
      </w:r>
      <w:r>
        <w:rPr>
          <w:spacing w:val="-2"/>
          <w:sz w:val="16"/>
        </w:rPr>
        <w:t> </w:t>
      </w:r>
      <w:r>
        <w:rPr>
          <w:sz w:val="16"/>
        </w:rPr>
        <w:t>avec</w:t>
      </w:r>
      <w:r>
        <w:rPr>
          <w:spacing w:val="-5"/>
          <w:sz w:val="16"/>
        </w:rPr>
        <w:t> </w:t>
      </w:r>
      <w:r>
        <w:rPr>
          <w:sz w:val="16"/>
        </w:rPr>
        <w:t>rondelle</w:t>
      </w:r>
      <w:r>
        <w:rPr>
          <w:spacing w:val="-6"/>
          <w:sz w:val="16"/>
        </w:rPr>
        <w:t> </w:t>
      </w:r>
      <w:r>
        <w:rPr>
          <w:sz w:val="16"/>
        </w:rPr>
        <w:t>d’étanchéité</w:t>
      </w:r>
      <w:r>
        <w:rPr>
          <w:spacing w:val="-6"/>
          <w:sz w:val="16"/>
        </w:rPr>
        <w:t> </w:t>
      </w:r>
      <w:r>
        <w:rPr>
          <w:sz w:val="16"/>
        </w:rPr>
        <w:t>8-18 X</w:t>
      </w:r>
      <w:r>
        <w:rPr>
          <w:spacing w:val="0"/>
          <w:sz w:val="16"/>
        </w:rPr>
        <w:t> </w:t>
      </w:r>
      <w:r>
        <w:rPr>
          <w:sz w:val="16"/>
        </w:rPr>
        <w:t>1,</w:t>
      </w:r>
      <w:r>
        <w:rPr>
          <w:spacing w:val="0"/>
          <w:sz w:val="16"/>
        </w:rPr>
        <w:t> </w:t>
      </w:r>
      <w:r>
        <w:rPr>
          <w:sz w:val="16"/>
        </w:rPr>
        <w:t>30618100YSP,</w:t>
      </w:r>
      <w:r>
        <w:rPr>
          <w:spacing w:val="-4"/>
          <w:sz w:val="16"/>
        </w:rPr>
        <w:t> </w:t>
      </w:r>
      <w:r>
        <w:rPr>
          <w:sz w:val="16"/>
        </w:rPr>
        <w:t>vis</w:t>
      </w:r>
      <w:r>
        <w:rPr>
          <w:spacing w:val="-3"/>
          <w:sz w:val="16"/>
        </w:rPr>
        <w:t> </w:t>
      </w:r>
      <w:r>
        <w:rPr>
          <w:sz w:val="16"/>
        </w:rPr>
        <w:t>à</w:t>
      </w:r>
      <w:r>
        <w:rPr>
          <w:spacing w:val="-1"/>
          <w:sz w:val="16"/>
        </w:rPr>
        <w:t> </w:t>
      </w:r>
      <w:r>
        <w:rPr>
          <w:sz w:val="16"/>
        </w:rPr>
        <w:t>métal</w:t>
      </w:r>
      <w:r>
        <w:rPr>
          <w:spacing w:val="-7"/>
          <w:sz w:val="16"/>
        </w:rPr>
        <w:t> </w:t>
      </w:r>
      <w:r>
        <w:rPr>
          <w:sz w:val="16"/>
        </w:rPr>
        <w:t>visible,</w:t>
      </w:r>
      <w:r>
        <w:rPr>
          <w:spacing w:val="-4"/>
          <w:sz w:val="16"/>
        </w:rPr>
        <w:t> </w:t>
      </w:r>
      <w:r>
        <w:rPr>
          <w:sz w:val="16"/>
        </w:rPr>
        <w:t>zinc</w:t>
      </w:r>
      <w:r>
        <w:rPr>
          <w:spacing w:val="-5"/>
          <w:sz w:val="16"/>
        </w:rPr>
        <w:t> </w:t>
      </w:r>
      <w:r>
        <w:rPr>
          <w:sz w:val="16"/>
        </w:rPr>
        <w:t>apparence.</w:t>
      </w:r>
    </w:p>
    <w:p>
      <w:pPr>
        <w:pStyle w:val="BodyText"/>
        <w:spacing w:before="1"/>
      </w:pPr>
    </w:p>
    <w:p>
      <w:pPr>
        <w:pStyle w:val="BodyText"/>
        <w:ind w:left="145"/>
      </w:pPr>
      <w:r>
        <w:rPr/>
        <w:t>Vis apparentes – Bois :</w:t>
      </w:r>
    </w:p>
    <w:p>
      <w:pPr>
        <w:pStyle w:val="BodyText"/>
        <w:spacing w:before="9"/>
        <w:rPr>
          <w:sz w:val="15"/>
        </w:rPr>
      </w:pPr>
    </w:p>
    <w:p>
      <w:pPr>
        <w:pStyle w:val="ListParagraph"/>
        <w:numPr>
          <w:ilvl w:val="4"/>
          <w:numId w:val="10"/>
        </w:numPr>
        <w:tabs>
          <w:tab w:pos="908" w:val="left" w:leader="none"/>
          <w:tab w:pos="909" w:val="left" w:leader="none"/>
        </w:tabs>
        <w:spacing w:line="240" w:lineRule="auto" w:before="0" w:after="0"/>
        <w:ind w:left="865" w:right="150" w:hanging="360"/>
        <w:jc w:val="left"/>
        <w:rPr>
          <w:sz w:val="16"/>
        </w:rPr>
      </w:pPr>
      <w:r>
        <w:rPr>
          <w:sz w:val="16"/>
        </w:rPr>
        <w:t>VIS A TOLE ‘POLYSEAL’ avec rondelle d’étanchéité 9X1, 30409100YSP, vis à bois visible, zinc apparence, couleur ou</w:t>
      </w:r>
      <w:r>
        <w:rPr>
          <w:spacing w:val="-3"/>
          <w:sz w:val="16"/>
        </w:rPr>
        <w:t> </w:t>
      </w:r>
      <w:r>
        <w:rPr>
          <w:sz w:val="16"/>
        </w:rPr>
        <w:t>naturel.</w:t>
      </w:r>
    </w:p>
    <w:p>
      <w:pPr>
        <w:pStyle w:val="BodyText"/>
        <w:spacing w:before="2"/>
      </w:pPr>
    </w:p>
    <w:p>
      <w:pPr>
        <w:pStyle w:val="ListParagraph"/>
        <w:numPr>
          <w:ilvl w:val="3"/>
          <w:numId w:val="10"/>
        </w:numPr>
        <w:tabs>
          <w:tab w:pos="1494" w:val="left" w:leader="none"/>
          <w:tab w:pos="1495" w:val="left" w:leader="none"/>
        </w:tabs>
        <w:spacing w:line="240" w:lineRule="auto" w:before="0" w:after="0"/>
        <w:ind w:left="1494" w:right="146" w:hanging="1080"/>
        <w:jc w:val="both"/>
        <w:rPr>
          <w:b/>
          <w:i/>
          <w:sz w:val="16"/>
        </w:rPr>
      </w:pPr>
      <w:r>
        <w:rPr>
          <w:sz w:val="16"/>
        </w:rPr>
        <w:t>Les vis doivent être respectivement conformes à la norme CSA B11 et ANSI B18.6.4 de fabrication spéciale. Ces fixations doivent être : en acier cadmié avec une tête aplatie pour des vis non apparentes et pour les vis apparentes avec une tête hexagonale de la même couleur que le panneau munie d’une rondelle en néoprène</w:t>
      </w:r>
      <w:r>
        <w:rPr>
          <w:spacing w:val="-5"/>
          <w:sz w:val="16"/>
        </w:rPr>
        <w:t> </w:t>
      </w:r>
      <w:r>
        <w:rPr>
          <w:sz w:val="16"/>
        </w:rPr>
        <w:t>conique</w:t>
      </w:r>
      <w:r>
        <w:rPr>
          <w:b/>
          <w:i/>
          <w:sz w:val="16"/>
        </w:rPr>
        <w:t>.</w:t>
      </w:r>
    </w:p>
    <w:p>
      <w:pPr>
        <w:pStyle w:val="BodyText"/>
        <w:spacing w:before="10"/>
        <w:rPr>
          <w:b/>
          <w:i/>
          <w:sz w:val="15"/>
        </w:rPr>
      </w:pPr>
    </w:p>
    <w:p>
      <w:pPr>
        <w:pStyle w:val="ListParagraph"/>
        <w:numPr>
          <w:ilvl w:val="3"/>
          <w:numId w:val="10"/>
        </w:numPr>
        <w:tabs>
          <w:tab w:pos="1494" w:val="left" w:leader="none"/>
          <w:tab w:pos="1495" w:val="left" w:leader="none"/>
        </w:tabs>
        <w:spacing w:line="240" w:lineRule="auto" w:before="0" w:after="0"/>
        <w:ind w:left="1494" w:right="152" w:hanging="1080"/>
        <w:jc w:val="left"/>
        <w:rPr>
          <w:sz w:val="16"/>
        </w:rPr>
      </w:pPr>
      <w:r>
        <w:rPr>
          <w:sz w:val="16"/>
        </w:rPr>
        <w:t>Voir les plans du manufacturier pour toutes les moulures types à utiliser. (moulures standards pour profilé MS750).</w:t>
      </w:r>
    </w:p>
    <w:p>
      <w:pPr>
        <w:pStyle w:val="BodyText"/>
        <w:spacing w:before="2"/>
      </w:pPr>
    </w:p>
    <w:p>
      <w:pPr>
        <w:pStyle w:val="ListParagraph"/>
        <w:numPr>
          <w:ilvl w:val="3"/>
          <w:numId w:val="10"/>
        </w:numPr>
        <w:tabs>
          <w:tab w:pos="1494" w:val="left" w:leader="none"/>
          <w:tab w:pos="1495" w:val="left" w:leader="none"/>
        </w:tabs>
        <w:spacing w:line="240" w:lineRule="auto" w:before="0" w:after="0"/>
        <w:ind w:left="1494" w:right="147" w:hanging="1080"/>
        <w:jc w:val="left"/>
        <w:rPr>
          <w:sz w:val="16"/>
        </w:rPr>
      </w:pPr>
      <w:r>
        <w:rPr>
          <w:sz w:val="16"/>
        </w:rPr>
        <w:t>Voir les plans pour toutes les moulures non standards (sur mesure) et les exécuter telles que dessinées sur les</w:t>
      </w:r>
      <w:r>
        <w:rPr>
          <w:spacing w:val="23"/>
          <w:sz w:val="16"/>
        </w:rPr>
        <w:t> </w:t>
      </w:r>
      <w:r>
        <w:rPr>
          <w:sz w:val="16"/>
        </w:rPr>
        <w:t>plans</w:t>
      </w:r>
      <w:r>
        <w:rPr>
          <w:spacing w:val="23"/>
          <w:sz w:val="16"/>
        </w:rPr>
        <w:t> </w:t>
      </w:r>
      <w:r>
        <w:rPr>
          <w:sz w:val="16"/>
        </w:rPr>
        <w:t>dans</w:t>
      </w:r>
      <w:r>
        <w:rPr>
          <w:spacing w:val="23"/>
          <w:sz w:val="16"/>
        </w:rPr>
        <w:t> </w:t>
      </w:r>
      <w:r>
        <w:rPr>
          <w:sz w:val="16"/>
        </w:rPr>
        <w:t>la</w:t>
      </w:r>
      <w:r>
        <w:rPr>
          <w:spacing w:val="25"/>
          <w:sz w:val="16"/>
        </w:rPr>
        <w:t> </w:t>
      </w:r>
      <w:r>
        <w:rPr>
          <w:sz w:val="16"/>
        </w:rPr>
        <w:t>couleur</w:t>
      </w:r>
      <w:r>
        <w:rPr>
          <w:spacing w:val="22"/>
          <w:sz w:val="16"/>
        </w:rPr>
        <w:t> </w:t>
      </w:r>
      <w:r>
        <w:rPr>
          <w:sz w:val="16"/>
        </w:rPr>
        <w:t>spécifiée...</w:t>
      </w:r>
      <w:r>
        <w:rPr>
          <w:spacing w:val="21"/>
          <w:sz w:val="16"/>
        </w:rPr>
        <w:t> </w:t>
      </w:r>
      <w:r>
        <w:rPr>
          <w:sz w:val="16"/>
        </w:rPr>
        <w:t>cal</w:t>
      </w:r>
      <w:r>
        <w:rPr>
          <w:spacing w:val="20"/>
          <w:sz w:val="16"/>
        </w:rPr>
        <w:t> </w:t>
      </w:r>
      <w:r>
        <w:rPr>
          <w:sz w:val="16"/>
        </w:rPr>
        <w:t>24</w:t>
      </w:r>
      <w:r>
        <w:rPr>
          <w:spacing w:val="21"/>
          <w:sz w:val="16"/>
        </w:rPr>
        <w:t> </w:t>
      </w:r>
      <w:r>
        <w:rPr>
          <w:sz w:val="16"/>
        </w:rPr>
        <w:t>ou</w:t>
      </w:r>
      <w:r>
        <w:rPr>
          <w:spacing w:val="22"/>
          <w:sz w:val="16"/>
        </w:rPr>
        <w:t> </w:t>
      </w:r>
      <w:r>
        <w:rPr>
          <w:sz w:val="16"/>
        </w:rPr>
        <w:t>26</w:t>
      </w:r>
      <w:r>
        <w:rPr>
          <w:spacing w:val="21"/>
          <w:sz w:val="16"/>
        </w:rPr>
        <w:t> </w:t>
      </w:r>
      <w:r>
        <w:rPr>
          <w:sz w:val="16"/>
        </w:rPr>
        <w:t>(de</w:t>
      </w:r>
      <w:r>
        <w:rPr>
          <w:spacing w:val="25"/>
          <w:sz w:val="16"/>
        </w:rPr>
        <w:t> </w:t>
      </w:r>
      <w:r>
        <w:rPr>
          <w:sz w:val="16"/>
        </w:rPr>
        <w:t>la</w:t>
      </w:r>
      <w:r>
        <w:rPr>
          <w:spacing w:val="25"/>
          <w:sz w:val="16"/>
        </w:rPr>
        <w:t> </w:t>
      </w:r>
      <w:r>
        <w:rPr>
          <w:sz w:val="16"/>
        </w:rPr>
        <w:t>collection</w:t>
      </w:r>
      <w:r>
        <w:rPr>
          <w:spacing w:val="21"/>
          <w:sz w:val="16"/>
        </w:rPr>
        <w:t> </w:t>
      </w:r>
      <w:r>
        <w:rPr>
          <w:sz w:val="16"/>
        </w:rPr>
        <w:t>signature</w:t>
      </w:r>
      <w:r>
        <w:rPr>
          <w:spacing w:val="20"/>
          <w:sz w:val="16"/>
        </w:rPr>
        <w:t> </w:t>
      </w:r>
      <w:r>
        <w:rPr>
          <w:sz w:val="16"/>
        </w:rPr>
        <w:t>ou</w:t>
      </w:r>
      <w:r>
        <w:rPr>
          <w:spacing w:val="22"/>
          <w:sz w:val="16"/>
        </w:rPr>
        <w:t> </w:t>
      </w:r>
      <w:r>
        <w:rPr>
          <w:sz w:val="16"/>
        </w:rPr>
        <w:t>inspiration).</w:t>
      </w:r>
    </w:p>
    <w:p>
      <w:pPr>
        <w:pStyle w:val="BodyText"/>
        <w:spacing w:before="2"/>
      </w:pPr>
    </w:p>
    <w:p>
      <w:pPr>
        <w:pStyle w:val="ListParagraph"/>
        <w:numPr>
          <w:ilvl w:val="2"/>
          <w:numId w:val="10"/>
        </w:numPr>
        <w:tabs>
          <w:tab w:pos="985" w:val="left" w:leader="none"/>
          <w:tab w:pos="986" w:val="left" w:leader="none"/>
        </w:tabs>
        <w:spacing w:line="240" w:lineRule="auto" w:before="0" w:after="0"/>
        <w:ind w:left="985" w:right="0" w:hanging="720"/>
        <w:jc w:val="left"/>
        <w:rPr>
          <w:sz w:val="16"/>
        </w:rPr>
      </w:pPr>
      <w:r>
        <w:rPr>
          <w:sz w:val="16"/>
        </w:rPr>
        <w:t>Tout autre accessoire recommandé par le</w:t>
      </w:r>
      <w:r>
        <w:rPr>
          <w:spacing w:val="-12"/>
          <w:sz w:val="16"/>
        </w:rPr>
        <w:t> </w:t>
      </w:r>
      <w:r>
        <w:rPr>
          <w:sz w:val="16"/>
        </w:rPr>
        <w:t>manufacturier.</w:t>
      </w:r>
    </w:p>
    <w:p>
      <w:pPr>
        <w:spacing w:after="0" w:line="240" w:lineRule="auto"/>
        <w:jc w:val="left"/>
        <w:rPr>
          <w:sz w:val="16"/>
        </w:rPr>
        <w:sectPr>
          <w:pgSz w:w="12240" w:h="15840"/>
          <w:pgMar w:header="515" w:footer="1467" w:top="1320" w:bottom="1660" w:left="1280" w:right="1260"/>
        </w:sectPr>
      </w:pPr>
    </w:p>
    <w:p>
      <w:pPr>
        <w:pStyle w:val="Heading1"/>
        <w:spacing w:before="91"/>
        <w:rPr>
          <w:i/>
        </w:rPr>
      </w:pPr>
      <w:r>
        <w:rPr/>
        <w:pict>
          <v:line style="position:absolute;mso-position-horizontal-relative:page;mso-position-vertical-relative:paragraph;z-index:1072;mso-wrap-distance-left:0;mso-wrap-distance-right:0" from="69.830597pt,19.454445pt" to="543.110597pt,19.454445pt" stroked="true" strokeweight=".48pt" strokecolor="#000000">
            <v:stroke dashstyle="solid"/>
            <w10:wrap type="topAndBottom"/>
          </v:line>
        </w:pict>
      </w:r>
      <w:r>
        <w:rPr>
          <w:i/>
        </w:rPr>
        <w:t>Partie 3- EXÉCUTION</w:t>
      </w:r>
    </w:p>
    <w:p>
      <w:pPr>
        <w:pStyle w:val="Heading2"/>
        <w:spacing w:before="168"/>
        <w:ind w:left="145" w:firstLine="0"/>
      </w:pPr>
      <w:r>
        <w:rPr/>
        <w:t>EXAMEN DE SUPPORT</w:t>
      </w:r>
    </w:p>
    <w:p>
      <w:pPr>
        <w:pStyle w:val="BodyText"/>
        <w:spacing w:before="193"/>
        <w:ind w:left="145" w:right="86"/>
      </w:pPr>
      <w:r>
        <w:rPr/>
        <w:t>Avant de procéder à l’installation des panneaux et des feuilles de revêtements, examiner l’alignement de support et aviser l’architecte par écrit si le support ne satisfait pas aux exigences de l’installateur de panneaux.</w:t>
      </w:r>
    </w:p>
    <w:p>
      <w:pPr>
        <w:pStyle w:val="BodyText"/>
      </w:pPr>
    </w:p>
    <w:p>
      <w:pPr>
        <w:pStyle w:val="Heading2"/>
        <w:numPr>
          <w:ilvl w:val="1"/>
          <w:numId w:val="11"/>
        </w:numPr>
        <w:tabs>
          <w:tab w:pos="486" w:val="left" w:leader="none"/>
        </w:tabs>
        <w:spacing w:line="240" w:lineRule="auto" w:before="0" w:after="0"/>
        <w:ind w:left="485" w:right="0" w:hanging="340"/>
        <w:jc w:val="left"/>
      </w:pPr>
      <w:r>
        <w:rPr/>
        <w:t>INSTALLATION </w:t>
      </w:r>
      <w:r>
        <w:rPr>
          <w:spacing w:val="-3"/>
        </w:rPr>
        <w:t>DES </w:t>
      </w:r>
      <w:r>
        <w:rPr/>
        <w:t>REVÊTEMENTS</w:t>
      </w:r>
      <w:r>
        <w:rPr>
          <w:spacing w:val="1"/>
        </w:rPr>
        <w:t> </w:t>
      </w:r>
      <w:r>
        <w:rPr/>
        <w:t>D’ACIER</w:t>
      </w:r>
    </w:p>
    <w:p>
      <w:pPr>
        <w:pStyle w:val="BodyText"/>
        <w:spacing w:before="198"/>
        <w:ind w:left="145" w:firstLine="43"/>
      </w:pPr>
      <w:r>
        <w:rPr/>
        <w:t>Avant de commencer l’installation des parements, assurez-vous que vos murs sont à l’équerre. Les parements muraux MS750 peuvent être installés tant à l’horizontale, à la verticale ou en diagonale.</w:t>
      </w:r>
    </w:p>
    <w:p>
      <w:pPr>
        <w:pStyle w:val="BodyText"/>
        <w:spacing w:before="5"/>
      </w:pPr>
    </w:p>
    <w:p>
      <w:pPr>
        <w:pStyle w:val="BodyText"/>
        <w:spacing w:line="235" w:lineRule="auto" w:before="1"/>
        <w:ind w:left="145"/>
      </w:pPr>
      <w:r>
        <w:rPr/>
        <w:t>Vissez les vis avec une pression modérée sur le métal pour en permettre l’expansion. Elles ne doivent pas exercer de pression ni vers le haut ni vers le bas afin d’éviter de déformer le parement et/ou de faire ouvrir le joint.</w:t>
      </w:r>
    </w:p>
    <w:p>
      <w:pPr>
        <w:pStyle w:val="BodyText"/>
        <w:spacing w:before="1"/>
      </w:pPr>
    </w:p>
    <w:p>
      <w:pPr>
        <w:pStyle w:val="ListParagraph"/>
        <w:numPr>
          <w:ilvl w:val="2"/>
          <w:numId w:val="11"/>
        </w:numPr>
        <w:tabs>
          <w:tab w:pos="866" w:val="left" w:leader="none"/>
        </w:tabs>
        <w:spacing w:line="240" w:lineRule="auto" w:before="0" w:after="0"/>
        <w:ind w:left="865" w:right="146" w:hanging="720"/>
        <w:jc w:val="both"/>
        <w:rPr>
          <w:sz w:val="16"/>
        </w:rPr>
      </w:pPr>
      <w:r>
        <w:rPr>
          <w:sz w:val="16"/>
        </w:rPr>
        <w:t>Pose des fourrures au préalable </w:t>
      </w:r>
      <w:r>
        <w:rPr>
          <w:spacing w:val="1"/>
          <w:sz w:val="16"/>
        </w:rPr>
        <w:t>de </w:t>
      </w:r>
      <w:r>
        <w:rPr>
          <w:sz w:val="16"/>
        </w:rPr>
        <w:t>façon à procurer un appui continu pour l’installation du parement en s’assurant une pose rectiligne de niveau. Fourrures aux intervalles de 16 po (406mm) à 24 po en tenant compte des surcharges positives ou négatives dues aux vents de la région (données climatiques du CNBC, probabilité sur 50 ans)</w:t>
      </w:r>
    </w:p>
    <w:p>
      <w:pPr>
        <w:pStyle w:val="BodyText"/>
        <w:spacing w:before="11"/>
        <w:rPr>
          <w:sz w:val="15"/>
        </w:rPr>
      </w:pPr>
    </w:p>
    <w:p>
      <w:pPr>
        <w:pStyle w:val="ListParagraph"/>
        <w:numPr>
          <w:ilvl w:val="2"/>
          <w:numId w:val="11"/>
        </w:numPr>
        <w:tabs>
          <w:tab w:pos="866" w:val="left" w:leader="none"/>
        </w:tabs>
        <w:spacing w:line="240" w:lineRule="auto" w:before="0" w:after="0"/>
        <w:ind w:left="865" w:right="153" w:hanging="720"/>
        <w:jc w:val="both"/>
        <w:rPr>
          <w:sz w:val="16"/>
        </w:rPr>
      </w:pPr>
      <w:r>
        <w:rPr>
          <w:sz w:val="16"/>
        </w:rPr>
        <w:t>Pose en continu des moulures d’égouttement, des moulures de départ, des pièces d’angle rentrant/sortant, des bordures, des soffites, des moulures adjacentes aux portes et fenêtres selon les prototypes et recommandations du</w:t>
      </w:r>
      <w:r>
        <w:rPr>
          <w:spacing w:val="-4"/>
          <w:sz w:val="16"/>
        </w:rPr>
        <w:t> </w:t>
      </w:r>
      <w:r>
        <w:rPr>
          <w:sz w:val="16"/>
        </w:rPr>
        <w:t>fabricant.</w:t>
      </w:r>
    </w:p>
    <w:p>
      <w:pPr>
        <w:pStyle w:val="BodyText"/>
        <w:spacing w:before="2"/>
      </w:pPr>
    </w:p>
    <w:p>
      <w:pPr>
        <w:pStyle w:val="ListParagraph"/>
        <w:numPr>
          <w:ilvl w:val="2"/>
          <w:numId w:val="11"/>
        </w:numPr>
        <w:tabs>
          <w:tab w:pos="866" w:val="left" w:leader="none"/>
        </w:tabs>
        <w:spacing w:line="240" w:lineRule="auto" w:before="0" w:after="0"/>
        <w:ind w:left="865" w:right="147" w:hanging="720"/>
        <w:jc w:val="both"/>
        <w:rPr>
          <w:sz w:val="16"/>
        </w:rPr>
      </w:pPr>
      <w:r>
        <w:rPr>
          <w:sz w:val="16"/>
        </w:rPr>
        <w:t>Poser les sous-entremises, en prenant soin d’appliquer les bandes de séparateurs thermiques en continuité. Poser les profilés continus de façon à procurer un appui pour l’installation du parement et assurer une pose rectiligne </w:t>
      </w:r>
      <w:r>
        <w:rPr>
          <w:spacing w:val="1"/>
          <w:sz w:val="16"/>
        </w:rPr>
        <w:t>de</w:t>
      </w:r>
      <w:r>
        <w:rPr>
          <w:spacing w:val="-9"/>
          <w:sz w:val="16"/>
        </w:rPr>
        <w:t> </w:t>
      </w:r>
      <w:r>
        <w:rPr>
          <w:sz w:val="16"/>
        </w:rPr>
        <w:t>niveau.</w:t>
      </w:r>
    </w:p>
    <w:p>
      <w:pPr>
        <w:pStyle w:val="BodyText"/>
        <w:spacing w:before="10"/>
        <w:rPr>
          <w:sz w:val="15"/>
        </w:rPr>
      </w:pPr>
    </w:p>
    <w:p>
      <w:pPr>
        <w:pStyle w:val="ListParagraph"/>
        <w:numPr>
          <w:ilvl w:val="2"/>
          <w:numId w:val="11"/>
        </w:numPr>
        <w:tabs>
          <w:tab w:pos="865" w:val="left" w:leader="none"/>
          <w:tab w:pos="866" w:val="left" w:leader="none"/>
        </w:tabs>
        <w:spacing w:line="240" w:lineRule="auto" w:before="0" w:after="0"/>
        <w:ind w:left="865" w:right="410" w:hanging="720"/>
        <w:jc w:val="left"/>
        <w:rPr>
          <w:sz w:val="16"/>
        </w:rPr>
      </w:pPr>
      <w:r>
        <w:rPr>
          <w:sz w:val="16"/>
        </w:rPr>
        <w:t>Poser</w:t>
      </w:r>
      <w:r>
        <w:rPr>
          <w:spacing w:val="-5"/>
          <w:sz w:val="16"/>
        </w:rPr>
        <w:t> </w:t>
      </w:r>
      <w:r>
        <w:rPr>
          <w:sz w:val="16"/>
        </w:rPr>
        <w:t>soigneusement</w:t>
      </w:r>
      <w:r>
        <w:rPr>
          <w:spacing w:val="-2"/>
          <w:sz w:val="16"/>
        </w:rPr>
        <w:t> </w:t>
      </w:r>
      <w:r>
        <w:rPr>
          <w:sz w:val="16"/>
        </w:rPr>
        <w:t>les</w:t>
      </w:r>
      <w:r>
        <w:rPr>
          <w:spacing w:val="-5"/>
          <w:sz w:val="16"/>
        </w:rPr>
        <w:t> </w:t>
      </w:r>
      <w:r>
        <w:rPr>
          <w:sz w:val="16"/>
        </w:rPr>
        <w:t>pièces</w:t>
      </w:r>
      <w:r>
        <w:rPr>
          <w:spacing w:val="-5"/>
          <w:sz w:val="16"/>
        </w:rPr>
        <w:t> </w:t>
      </w:r>
      <w:r>
        <w:rPr>
          <w:sz w:val="16"/>
        </w:rPr>
        <w:t>d’angle</w:t>
      </w:r>
      <w:r>
        <w:rPr>
          <w:spacing w:val="-8"/>
          <w:sz w:val="16"/>
        </w:rPr>
        <w:t> </w:t>
      </w:r>
      <w:r>
        <w:rPr>
          <w:sz w:val="16"/>
        </w:rPr>
        <w:t>saillant</w:t>
      </w:r>
      <w:r>
        <w:rPr>
          <w:spacing w:val="-6"/>
          <w:sz w:val="16"/>
        </w:rPr>
        <w:t> </w:t>
      </w:r>
      <w:r>
        <w:rPr>
          <w:sz w:val="16"/>
        </w:rPr>
        <w:t>et</w:t>
      </w:r>
      <w:r>
        <w:rPr>
          <w:spacing w:val="-2"/>
          <w:sz w:val="16"/>
        </w:rPr>
        <w:t> </w:t>
      </w:r>
      <w:r>
        <w:rPr>
          <w:sz w:val="16"/>
        </w:rPr>
        <w:t>les</w:t>
      </w:r>
      <w:r>
        <w:rPr>
          <w:spacing w:val="-1"/>
          <w:sz w:val="16"/>
        </w:rPr>
        <w:t> </w:t>
      </w:r>
      <w:r>
        <w:rPr>
          <w:sz w:val="16"/>
        </w:rPr>
        <w:t>moulures</w:t>
      </w:r>
      <w:r>
        <w:rPr>
          <w:spacing w:val="3"/>
          <w:sz w:val="16"/>
        </w:rPr>
        <w:t> </w:t>
      </w:r>
      <w:r>
        <w:rPr>
          <w:sz w:val="16"/>
        </w:rPr>
        <w:t>adjacentes</w:t>
      </w:r>
      <w:r>
        <w:rPr>
          <w:spacing w:val="-5"/>
          <w:sz w:val="16"/>
        </w:rPr>
        <w:t> </w:t>
      </w:r>
      <w:r>
        <w:rPr>
          <w:sz w:val="16"/>
        </w:rPr>
        <w:t>de</w:t>
      </w:r>
      <w:r>
        <w:rPr>
          <w:spacing w:val="-3"/>
          <w:sz w:val="16"/>
        </w:rPr>
        <w:t> </w:t>
      </w:r>
      <w:r>
        <w:rPr>
          <w:sz w:val="16"/>
        </w:rPr>
        <w:t>manière</w:t>
      </w:r>
      <w:r>
        <w:rPr>
          <w:spacing w:val="-8"/>
          <w:sz w:val="16"/>
        </w:rPr>
        <w:t> </w:t>
      </w:r>
      <w:r>
        <w:rPr>
          <w:sz w:val="16"/>
        </w:rPr>
        <w:t>à</w:t>
      </w:r>
      <w:r>
        <w:rPr>
          <w:spacing w:val="-3"/>
          <w:sz w:val="16"/>
        </w:rPr>
        <w:t> </w:t>
      </w:r>
      <w:r>
        <w:rPr>
          <w:sz w:val="16"/>
        </w:rPr>
        <w:t>obtenir</w:t>
      </w:r>
      <w:r>
        <w:rPr>
          <w:spacing w:val="-5"/>
          <w:sz w:val="16"/>
        </w:rPr>
        <w:t> </w:t>
      </w:r>
      <w:r>
        <w:rPr>
          <w:sz w:val="16"/>
        </w:rPr>
        <w:t>un</w:t>
      </w:r>
      <w:r>
        <w:rPr>
          <w:spacing w:val="-1"/>
          <w:sz w:val="16"/>
        </w:rPr>
        <w:t> </w:t>
      </w:r>
      <w:r>
        <w:rPr>
          <w:sz w:val="16"/>
        </w:rPr>
        <w:t>ouvrage bien façonné et</w:t>
      </w:r>
      <w:r>
        <w:rPr>
          <w:spacing w:val="-9"/>
          <w:sz w:val="16"/>
        </w:rPr>
        <w:t> </w:t>
      </w:r>
      <w:r>
        <w:rPr>
          <w:sz w:val="16"/>
        </w:rPr>
        <w:t>profilé.</w:t>
      </w:r>
    </w:p>
    <w:p>
      <w:pPr>
        <w:pStyle w:val="BodyText"/>
        <w:spacing w:before="2"/>
      </w:pPr>
    </w:p>
    <w:p>
      <w:pPr>
        <w:pStyle w:val="ListParagraph"/>
        <w:numPr>
          <w:ilvl w:val="2"/>
          <w:numId w:val="11"/>
        </w:numPr>
        <w:tabs>
          <w:tab w:pos="866" w:val="left" w:leader="none"/>
        </w:tabs>
        <w:spacing w:line="240" w:lineRule="auto" w:before="0" w:after="0"/>
        <w:ind w:left="865" w:right="145" w:hanging="720"/>
        <w:jc w:val="both"/>
        <w:rPr>
          <w:sz w:val="16"/>
        </w:rPr>
      </w:pPr>
      <w:r>
        <w:rPr>
          <w:sz w:val="16"/>
        </w:rPr>
        <w:t>Fournir et installer des pièces de fermeture façonnées et imperméabilisées pour l’ensemble des périmètres </w:t>
      </w:r>
      <w:r>
        <w:rPr>
          <w:spacing w:val="1"/>
          <w:sz w:val="16"/>
        </w:rPr>
        <w:t>du </w:t>
      </w:r>
      <w:r>
        <w:rPr>
          <w:sz w:val="16"/>
        </w:rPr>
        <w:t>système ainsi qu’aux périmètres </w:t>
      </w:r>
      <w:r>
        <w:rPr>
          <w:spacing w:val="1"/>
          <w:sz w:val="16"/>
        </w:rPr>
        <w:t>de </w:t>
      </w:r>
      <w:r>
        <w:rPr>
          <w:sz w:val="16"/>
        </w:rPr>
        <w:t>portes, persiennes, éléments mécaniques et électriques afin </w:t>
      </w:r>
      <w:r>
        <w:rPr>
          <w:spacing w:val="1"/>
          <w:sz w:val="16"/>
        </w:rPr>
        <w:t>de </w:t>
      </w:r>
      <w:r>
        <w:rPr>
          <w:sz w:val="16"/>
        </w:rPr>
        <w:t>protéger les murs de l’enveloppe contre les intempéries. Assurer l’équilibre de pression de façon continue, selon le principe de l’écran</w:t>
      </w:r>
      <w:r>
        <w:rPr>
          <w:spacing w:val="-2"/>
          <w:sz w:val="16"/>
        </w:rPr>
        <w:t> </w:t>
      </w:r>
      <w:r>
        <w:rPr>
          <w:sz w:val="16"/>
        </w:rPr>
        <w:t>pare-pluie.</w:t>
      </w:r>
    </w:p>
    <w:p>
      <w:pPr>
        <w:pStyle w:val="BodyText"/>
        <w:spacing w:before="11"/>
        <w:rPr>
          <w:sz w:val="15"/>
        </w:rPr>
      </w:pPr>
    </w:p>
    <w:p>
      <w:pPr>
        <w:pStyle w:val="ListParagraph"/>
        <w:numPr>
          <w:ilvl w:val="2"/>
          <w:numId w:val="11"/>
        </w:numPr>
        <w:tabs>
          <w:tab w:pos="866" w:val="left" w:leader="none"/>
        </w:tabs>
        <w:spacing w:line="240" w:lineRule="auto" w:before="0" w:after="0"/>
        <w:ind w:left="865" w:right="148" w:hanging="720"/>
        <w:jc w:val="both"/>
        <w:rPr>
          <w:sz w:val="16"/>
        </w:rPr>
      </w:pPr>
      <w:r>
        <w:rPr>
          <w:sz w:val="16"/>
        </w:rPr>
        <w:t>Les panneaux SOFFITE (MS750 I PERFORÉ) sont assemblés par superposition partielle. Pour les panneaux MS750 I, on superpose la première rainure du panneau à poser au fond de la dernière rainure du panneau déjà posé. Au jointement longitudinal des panneaux, prévoir un espace pour la dilatation ou l’expansion du matériel selon la température lors </w:t>
      </w:r>
      <w:r>
        <w:rPr>
          <w:spacing w:val="1"/>
          <w:sz w:val="16"/>
        </w:rPr>
        <w:t>de</w:t>
      </w:r>
      <w:r>
        <w:rPr>
          <w:spacing w:val="0"/>
          <w:sz w:val="16"/>
        </w:rPr>
        <w:t> </w:t>
      </w:r>
      <w:r>
        <w:rPr>
          <w:sz w:val="16"/>
        </w:rPr>
        <w:t>l’installation.</w:t>
      </w:r>
    </w:p>
    <w:p>
      <w:pPr>
        <w:pStyle w:val="BodyText"/>
        <w:spacing w:before="3"/>
      </w:pPr>
    </w:p>
    <w:p>
      <w:pPr>
        <w:pStyle w:val="ListParagraph"/>
        <w:numPr>
          <w:ilvl w:val="2"/>
          <w:numId w:val="11"/>
        </w:numPr>
        <w:tabs>
          <w:tab w:pos="865" w:val="left" w:leader="none"/>
          <w:tab w:pos="866" w:val="left" w:leader="none"/>
        </w:tabs>
        <w:spacing w:line="240" w:lineRule="auto" w:before="0" w:after="0"/>
        <w:ind w:left="865" w:right="0" w:hanging="720"/>
        <w:jc w:val="left"/>
        <w:rPr>
          <w:sz w:val="16"/>
        </w:rPr>
      </w:pPr>
      <w:r>
        <w:rPr>
          <w:sz w:val="16"/>
        </w:rPr>
        <w:t>Poser les bordures </w:t>
      </w:r>
      <w:r>
        <w:rPr>
          <w:spacing w:val="1"/>
          <w:sz w:val="16"/>
        </w:rPr>
        <w:t>de </w:t>
      </w:r>
      <w:r>
        <w:rPr>
          <w:sz w:val="16"/>
        </w:rPr>
        <w:t>toit selon les</w:t>
      </w:r>
      <w:r>
        <w:rPr>
          <w:spacing w:val="-6"/>
          <w:sz w:val="16"/>
        </w:rPr>
        <w:t> </w:t>
      </w:r>
      <w:r>
        <w:rPr>
          <w:sz w:val="16"/>
        </w:rPr>
        <w:t>indications.</w:t>
      </w:r>
    </w:p>
    <w:p>
      <w:pPr>
        <w:pStyle w:val="BodyText"/>
        <w:spacing w:before="8"/>
        <w:rPr>
          <w:sz w:val="15"/>
        </w:rPr>
      </w:pPr>
    </w:p>
    <w:p>
      <w:pPr>
        <w:pStyle w:val="ListParagraph"/>
        <w:numPr>
          <w:ilvl w:val="2"/>
          <w:numId w:val="11"/>
        </w:numPr>
        <w:tabs>
          <w:tab w:pos="865" w:val="left" w:leader="none"/>
          <w:tab w:pos="866" w:val="left" w:leader="none"/>
        </w:tabs>
        <w:spacing w:line="240" w:lineRule="auto" w:before="1" w:after="0"/>
        <w:ind w:left="865" w:right="679" w:hanging="720"/>
        <w:jc w:val="left"/>
        <w:rPr>
          <w:sz w:val="16"/>
        </w:rPr>
      </w:pPr>
      <w:r>
        <w:rPr>
          <w:sz w:val="16"/>
        </w:rPr>
        <w:t>Seulement</w:t>
      </w:r>
      <w:r>
        <w:rPr>
          <w:spacing w:val="-2"/>
          <w:sz w:val="16"/>
        </w:rPr>
        <w:t> </w:t>
      </w:r>
      <w:r>
        <w:rPr>
          <w:sz w:val="16"/>
        </w:rPr>
        <w:t>les</w:t>
      </w:r>
      <w:r>
        <w:rPr>
          <w:spacing w:val="-1"/>
          <w:sz w:val="16"/>
        </w:rPr>
        <w:t> </w:t>
      </w:r>
      <w:r>
        <w:rPr>
          <w:sz w:val="16"/>
        </w:rPr>
        <w:t>coupes</w:t>
      </w:r>
      <w:r>
        <w:rPr>
          <w:spacing w:val="-5"/>
          <w:sz w:val="16"/>
        </w:rPr>
        <w:t> </w:t>
      </w:r>
      <w:r>
        <w:rPr>
          <w:sz w:val="16"/>
        </w:rPr>
        <w:t>d’usine</w:t>
      </w:r>
      <w:r>
        <w:rPr>
          <w:spacing w:val="-8"/>
          <w:sz w:val="16"/>
        </w:rPr>
        <w:t> </w:t>
      </w:r>
      <w:r>
        <w:rPr>
          <w:sz w:val="16"/>
        </w:rPr>
        <w:t>devront</w:t>
      </w:r>
      <w:r>
        <w:rPr>
          <w:spacing w:val="-2"/>
          <w:sz w:val="16"/>
        </w:rPr>
        <w:t> </w:t>
      </w:r>
      <w:r>
        <w:rPr>
          <w:sz w:val="16"/>
        </w:rPr>
        <w:t>être</w:t>
      </w:r>
      <w:r>
        <w:rPr>
          <w:spacing w:val="-3"/>
          <w:sz w:val="16"/>
        </w:rPr>
        <w:t> </w:t>
      </w:r>
      <w:r>
        <w:rPr>
          <w:sz w:val="16"/>
        </w:rPr>
        <w:t>utilisées</w:t>
      </w:r>
      <w:r>
        <w:rPr>
          <w:spacing w:val="-5"/>
          <w:sz w:val="16"/>
        </w:rPr>
        <w:t> </w:t>
      </w:r>
      <w:r>
        <w:rPr>
          <w:sz w:val="16"/>
        </w:rPr>
        <w:t>pour</w:t>
      </w:r>
      <w:r>
        <w:rPr>
          <w:spacing w:val="-1"/>
          <w:sz w:val="16"/>
        </w:rPr>
        <w:t> </w:t>
      </w:r>
      <w:r>
        <w:rPr>
          <w:sz w:val="16"/>
        </w:rPr>
        <w:t>réaliser</w:t>
      </w:r>
      <w:r>
        <w:rPr>
          <w:spacing w:val="-1"/>
          <w:sz w:val="16"/>
        </w:rPr>
        <w:t> </w:t>
      </w:r>
      <w:r>
        <w:rPr>
          <w:sz w:val="16"/>
        </w:rPr>
        <w:t>les</w:t>
      </w:r>
      <w:r>
        <w:rPr>
          <w:spacing w:val="-5"/>
          <w:sz w:val="16"/>
        </w:rPr>
        <w:t> </w:t>
      </w:r>
      <w:r>
        <w:rPr>
          <w:sz w:val="16"/>
        </w:rPr>
        <w:t>joints</w:t>
      </w:r>
      <w:r>
        <w:rPr>
          <w:spacing w:val="-5"/>
          <w:sz w:val="16"/>
        </w:rPr>
        <w:t> </w:t>
      </w:r>
      <w:r>
        <w:rPr>
          <w:sz w:val="16"/>
        </w:rPr>
        <w:t>muraux.</w:t>
      </w:r>
      <w:r>
        <w:rPr>
          <w:spacing w:val="-6"/>
          <w:sz w:val="16"/>
        </w:rPr>
        <w:t> </w:t>
      </w:r>
      <w:r>
        <w:rPr>
          <w:sz w:val="16"/>
        </w:rPr>
        <w:t>Les</w:t>
      </w:r>
      <w:r>
        <w:rPr>
          <w:spacing w:val="-5"/>
          <w:sz w:val="16"/>
        </w:rPr>
        <w:t> </w:t>
      </w:r>
      <w:r>
        <w:rPr>
          <w:sz w:val="16"/>
        </w:rPr>
        <w:t>joints</w:t>
      </w:r>
      <w:r>
        <w:rPr>
          <w:spacing w:val="-5"/>
          <w:sz w:val="16"/>
        </w:rPr>
        <w:t> </w:t>
      </w:r>
      <w:r>
        <w:rPr>
          <w:spacing w:val="1"/>
          <w:sz w:val="16"/>
        </w:rPr>
        <w:t>de</w:t>
      </w:r>
      <w:r>
        <w:rPr>
          <w:spacing w:val="-8"/>
          <w:sz w:val="16"/>
        </w:rPr>
        <w:t> </w:t>
      </w:r>
      <w:r>
        <w:rPr>
          <w:sz w:val="16"/>
        </w:rPr>
        <w:t>chantier</w:t>
      </w:r>
      <w:r>
        <w:rPr>
          <w:spacing w:val="-1"/>
          <w:sz w:val="16"/>
        </w:rPr>
        <w:t> </w:t>
      </w:r>
      <w:r>
        <w:rPr>
          <w:sz w:val="16"/>
        </w:rPr>
        <w:t>ne doivent servir que dans les moulures des</w:t>
      </w:r>
      <w:r>
        <w:rPr>
          <w:spacing w:val="-3"/>
          <w:sz w:val="16"/>
        </w:rPr>
        <w:t> </w:t>
      </w:r>
      <w:r>
        <w:rPr>
          <w:sz w:val="16"/>
        </w:rPr>
        <w:t>murs.</w:t>
      </w:r>
    </w:p>
    <w:p>
      <w:pPr>
        <w:pStyle w:val="BodyText"/>
        <w:spacing w:before="1"/>
      </w:pPr>
    </w:p>
    <w:p>
      <w:pPr>
        <w:pStyle w:val="ListParagraph"/>
        <w:numPr>
          <w:ilvl w:val="2"/>
          <w:numId w:val="11"/>
        </w:numPr>
        <w:tabs>
          <w:tab w:pos="865" w:val="left" w:leader="none"/>
          <w:tab w:pos="866" w:val="left" w:leader="none"/>
        </w:tabs>
        <w:spacing w:line="240" w:lineRule="auto" w:before="1" w:after="0"/>
        <w:ind w:left="865" w:right="0" w:hanging="720"/>
        <w:jc w:val="left"/>
        <w:rPr>
          <w:sz w:val="16"/>
        </w:rPr>
      </w:pPr>
      <w:r>
        <w:rPr>
          <w:sz w:val="16"/>
        </w:rPr>
        <w:t>S’assurer que les joints du revêtement extérieur sont parfaitement alignés et</w:t>
      </w:r>
      <w:r>
        <w:rPr>
          <w:spacing w:val="-3"/>
          <w:sz w:val="16"/>
        </w:rPr>
        <w:t> </w:t>
      </w:r>
      <w:r>
        <w:rPr>
          <w:sz w:val="16"/>
        </w:rPr>
        <w:t>aboutés.</w:t>
      </w:r>
    </w:p>
    <w:p>
      <w:pPr>
        <w:pStyle w:val="BodyText"/>
        <w:spacing w:before="1"/>
      </w:pPr>
    </w:p>
    <w:p>
      <w:pPr>
        <w:pStyle w:val="ListParagraph"/>
        <w:numPr>
          <w:ilvl w:val="2"/>
          <w:numId w:val="11"/>
        </w:numPr>
        <w:tabs>
          <w:tab w:pos="865" w:val="left" w:leader="none"/>
          <w:tab w:pos="866" w:val="left" w:leader="none"/>
        </w:tabs>
        <w:spacing w:line="240" w:lineRule="auto" w:before="0" w:after="0"/>
        <w:ind w:left="865" w:right="0" w:hanging="720"/>
        <w:jc w:val="left"/>
        <w:rPr>
          <w:sz w:val="16"/>
        </w:rPr>
      </w:pPr>
      <w:r>
        <w:rPr>
          <w:sz w:val="16"/>
        </w:rPr>
        <w:t>Coupez</w:t>
      </w:r>
      <w:r>
        <w:rPr>
          <w:spacing w:val="-6"/>
          <w:sz w:val="16"/>
        </w:rPr>
        <w:t> </w:t>
      </w:r>
      <w:r>
        <w:rPr>
          <w:sz w:val="16"/>
        </w:rPr>
        <w:t>(taillez)</w:t>
      </w:r>
      <w:r>
        <w:rPr>
          <w:spacing w:val="-2"/>
          <w:sz w:val="16"/>
        </w:rPr>
        <w:t> </w:t>
      </w:r>
      <w:r>
        <w:rPr>
          <w:sz w:val="16"/>
        </w:rPr>
        <w:t>les</w:t>
      </w:r>
      <w:r>
        <w:rPr>
          <w:spacing w:val="-5"/>
          <w:sz w:val="16"/>
        </w:rPr>
        <w:t> </w:t>
      </w:r>
      <w:r>
        <w:rPr>
          <w:sz w:val="16"/>
        </w:rPr>
        <w:t>panneaux</w:t>
      </w:r>
      <w:r>
        <w:rPr>
          <w:spacing w:val="-5"/>
          <w:sz w:val="16"/>
        </w:rPr>
        <w:t> </w:t>
      </w:r>
      <w:r>
        <w:rPr>
          <w:sz w:val="16"/>
        </w:rPr>
        <w:t>sur</w:t>
      </w:r>
      <w:r>
        <w:rPr>
          <w:spacing w:val="-1"/>
          <w:sz w:val="16"/>
        </w:rPr>
        <w:t> </w:t>
      </w:r>
      <w:r>
        <w:rPr>
          <w:sz w:val="16"/>
        </w:rPr>
        <w:t>la</w:t>
      </w:r>
      <w:r>
        <w:rPr>
          <w:spacing w:val="0"/>
          <w:sz w:val="16"/>
        </w:rPr>
        <w:t> </w:t>
      </w:r>
      <w:r>
        <w:rPr>
          <w:sz w:val="16"/>
        </w:rPr>
        <w:t>longueur</w:t>
      </w:r>
      <w:r>
        <w:rPr>
          <w:spacing w:val="-5"/>
          <w:sz w:val="16"/>
        </w:rPr>
        <w:t> </w:t>
      </w:r>
      <w:r>
        <w:rPr>
          <w:sz w:val="16"/>
        </w:rPr>
        <w:t>à</w:t>
      </w:r>
      <w:r>
        <w:rPr>
          <w:spacing w:val="-3"/>
          <w:sz w:val="16"/>
        </w:rPr>
        <w:t> </w:t>
      </w:r>
      <w:r>
        <w:rPr>
          <w:sz w:val="16"/>
        </w:rPr>
        <w:t>froid</w:t>
      </w:r>
      <w:r>
        <w:rPr>
          <w:spacing w:val="-4"/>
          <w:sz w:val="16"/>
        </w:rPr>
        <w:t> </w:t>
      </w:r>
      <w:r>
        <w:rPr>
          <w:sz w:val="16"/>
        </w:rPr>
        <w:t>uniquement</w:t>
      </w:r>
      <w:r>
        <w:rPr>
          <w:spacing w:val="-6"/>
          <w:sz w:val="16"/>
        </w:rPr>
        <w:t> </w:t>
      </w:r>
      <w:r>
        <w:rPr>
          <w:sz w:val="16"/>
        </w:rPr>
        <w:t>avec</w:t>
      </w:r>
      <w:r>
        <w:rPr>
          <w:spacing w:val="-3"/>
          <w:sz w:val="16"/>
        </w:rPr>
        <w:t> </w:t>
      </w:r>
      <w:r>
        <w:rPr>
          <w:sz w:val="16"/>
        </w:rPr>
        <w:t>des ciseaux</w:t>
      </w:r>
      <w:r>
        <w:rPr>
          <w:spacing w:val="-5"/>
          <w:sz w:val="16"/>
        </w:rPr>
        <w:t> </w:t>
      </w:r>
      <w:r>
        <w:rPr>
          <w:sz w:val="16"/>
        </w:rPr>
        <w:t>ou</w:t>
      </w:r>
      <w:r>
        <w:rPr>
          <w:spacing w:val="-1"/>
          <w:sz w:val="16"/>
        </w:rPr>
        <w:t> </w:t>
      </w:r>
      <w:r>
        <w:rPr>
          <w:sz w:val="16"/>
        </w:rPr>
        <w:t>des ciseaux électriques.</w:t>
      </w:r>
    </w:p>
    <w:p>
      <w:pPr>
        <w:pStyle w:val="BodyText"/>
        <w:spacing w:before="1"/>
      </w:pPr>
    </w:p>
    <w:p>
      <w:pPr>
        <w:pStyle w:val="ListParagraph"/>
        <w:numPr>
          <w:ilvl w:val="2"/>
          <w:numId w:val="11"/>
        </w:numPr>
        <w:tabs>
          <w:tab w:pos="866" w:val="left" w:leader="none"/>
        </w:tabs>
        <w:spacing w:line="240" w:lineRule="auto" w:before="0" w:after="0"/>
        <w:ind w:left="865" w:right="148" w:hanging="720"/>
        <w:jc w:val="both"/>
        <w:rPr>
          <w:sz w:val="16"/>
        </w:rPr>
      </w:pPr>
      <w:r>
        <w:rPr>
          <w:sz w:val="16"/>
        </w:rPr>
        <w:t>Le vissage est en ligne au niveau des entremises avec des vis à rondelle d’étanchéité tout au lond des rainures superposées. Si c’est nécessaire calfeutrer les joints entre les éléments et les ouvrages adjacents avec un produit d’étanchéité scellant/adhésif à vulcanisation neutre à un composant qui vulcanise en une silicone </w:t>
      </w:r>
      <w:r>
        <w:rPr>
          <w:spacing w:val="1"/>
          <w:sz w:val="16"/>
        </w:rPr>
        <w:t>de </w:t>
      </w:r>
      <w:r>
        <w:rPr>
          <w:sz w:val="16"/>
        </w:rPr>
        <w:t>caoutchouc durable et élastique au contact de l’humidité</w:t>
      </w:r>
      <w:r>
        <w:rPr>
          <w:spacing w:val="-10"/>
          <w:sz w:val="16"/>
        </w:rPr>
        <w:t> </w:t>
      </w:r>
      <w:r>
        <w:rPr>
          <w:sz w:val="16"/>
        </w:rPr>
        <w:t>ambiante.</w:t>
      </w:r>
    </w:p>
    <w:p>
      <w:pPr>
        <w:pStyle w:val="BodyText"/>
        <w:spacing w:before="10"/>
        <w:rPr>
          <w:sz w:val="15"/>
        </w:rPr>
      </w:pPr>
    </w:p>
    <w:p>
      <w:pPr>
        <w:pStyle w:val="ListParagraph"/>
        <w:numPr>
          <w:ilvl w:val="2"/>
          <w:numId w:val="11"/>
        </w:numPr>
        <w:tabs>
          <w:tab w:pos="866" w:val="left" w:leader="none"/>
        </w:tabs>
        <w:spacing w:line="240" w:lineRule="auto" w:before="1" w:after="0"/>
        <w:ind w:left="865" w:right="206" w:hanging="720"/>
        <w:jc w:val="both"/>
        <w:rPr>
          <w:sz w:val="16"/>
        </w:rPr>
      </w:pPr>
      <w:r>
        <w:rPr>
          <w:sz w:val="16"/>
        </w:rPr>
        <w:t>Dans</w:t>
      </w:r>
      <w:r>
        <w:rPr>
          <w:spacing w:val="-4"/>
          <w:sz w:val="16"/>
        </w:rPr>
        <w:t> </w:t>
      </w:r>
      <w:r>
        <w:rPr>
          <w:sz w:val="16"/>
        </w:rPr>
        <w:t>tous</w:t>
      </w:r>
      <w:r>
        <w:rPr>
          <w:spacing w:val="-4"/>
          <w:sz w:val="16"/>
        </w:rPr>
        <w:t> </w:t>
      </w:r>
      <w:r>
        <w:rPr>
          <w:sz w:val="16"/>
        </w:rPr>
        <w:t>les</w:t>
      </w:r>
      <w:r>
        <w:rPr>
          <w:spacing w:val="0"/>
          <w:sz w:val="16"/>
        </w:rPr>
        <w:t> </w:t>
      </w:r>
      <w:r>
        <w:rPr>
          <w:sz w:val="16"/>
        </w:rPr>
        <w:t>cas,</w:t>
      </w:r>
      <w:r>
        <w:rPr>
          <w:spacing w:val="-5"/>
          <w:sz w:val="16"/>
        </w:rPr>
        <w:t> </w:t>
      </w:r>
      <w:r>
        <w:rPr>
          <w:sz w:val="16"/>
        </w:rPr>
        <w:t>s’il</w:t>
      </w:r>
      <w:r>
        <w:rPr>
          <w:spacing w:val="-7"/>
          <w:sz w:val="16"/>
        </w:rPr>
        <w:t> </w:t>
      </w:r>
      <w:r>
        <w:rPr>
          <w:sz w:val="16"/>
        </w:rPr>
        <w:t>y</w:t>
      </w:r>
      <w:r>
        <w:rPr>
          <w:spacing w:val="-3"/>
          <w:sz w:val="16"/>
        </w:rPr>
        <w:t> </w:t>
      </w:r>
      <w:r>
        <w:rPr>
          <w:sz w:val="16"/>
        </w:rPr>
        <w:t>a</w:t>
      </w:r>
      <w:r>
        <w:rPr>
          <w:spacing w:val="-2"/>
          <w:sz w:val="16"/>
        </w:rPr>
        <w:t> </w:t>
      </w:r>
      <w:r>
        <w:rPr>
          <w:sz w:val="16"/>
        </w:rPr>
        <w:t>un</w:t>
      </w:r>
      <w:r>
        <w:rPr>
          <w:spacing w:val="-5"/>
          <w:sz w:val="16"/>
        </w:rPr>
        <w:t> </w:t>
      </w:r>
      <w:r>
        <w:rPr>
          <w:sz w:val="16"/>
        </w:rPr>
        <w:t>débordement</w:t>
      </w:r>
      <w:r>
        <w:rPr>
          <w:spacing w:val="-5"/>
          <w:sz w:val="16"/>
        </w:rPr>
        <w:t> </w:t>
      </w:r>
      <w:r>
        <w:rPr>
          <w:spacing w:val="1"/>
          <w:sz w:val="16"/>
        </w:rPr>
        <w:t>de</w:t>
      </w:r>
      <w:r>
        <w:rPr>
          <w:spacing w:val="-7"/>
          <w:sz w:val="16"/>
        </w:rPr>
        <w:t> </w:t>
      </w:r>
      <w:r>
        <w:rPr>
          <w:sz w:val="16"/>
        </w:rPr>
        <w:t>scellant</w:t>
      </w:r>
      <w:r>
        <w:rPr>
          <w:spacing w:val="-5"/>
          <w:sz w:val="16"/>
        </w:rPr>
        <w:t> </w:t>
      </w:r>
      <w:r>
        <w:rPr>
          <w:sz w:val="16"/>
        </w:rPr>
        <w:t>assurez-vous</w:t>
      </w:r>
      <w:r>
        <w:rPr>
          <w:spacing w:val="-4"/>
          <w:sz w:val="16"/>
        </w:rPr>
        <w:t> </w:t>
      </w:r>
      <w:r>
        <w:rPr>
          <w:sz w:val="16"/>
        </w:rPr>
        <w:t>de</w:t>
      </w:r>
      <w:r>
        <w:rPr>
          <w:spacing w:val="-7"/>
          <w:sz w:val="16"/>
        </w:rPr>
        <w:t> </w:t>
      </w:r>
      <w:r>
        <w:rPr>
          <w:sz w:val="16"/>
        </w:rPr>
        <w:t>nettoyer le</w:t>
      </w:r>
      <w:r>
        <w:rPr>
          <w:spacing w:val="-2"/>
          <w:sz w:val="16"/>
        </w:rPr>
        <w:t> </w:t>
      </w:r>
      <w:r>
        <w:rPr>
          <w:sz w:val="16"/>
        </w:rPr>
        <w:t>surplus</w:t>
      </w:r>
      <w:r>
        <w:rPr>
          <w:spacing w:val="-4"/>
          <w:sz w:val="16"/>
        </w:rPr>
        <w:t> </w:t>
      </w:r>
      <w:r>
        <w:rPr>
          <w:sz w:val="16"/>
        </w:rPr>
        <w:t>immédiatement</w:t>
      </w:r>
      <w:r>
        <w:rPr>
          <w:spacing w:val="-1"/>
          <w:sz w:val="16"/>
        </w:rPr>
        <w:t> </w:t>
      </w:r>
      <w:r>
        <w:rPr>
          <w:sz w:val="16"/>
        </w:rPr>
        <w:t>avant qu’il ne</w:t>
      </w:r>
      <w:r>
        <w:rPr>
          <w:spacing w:val="-8"/>
          <w:sz w:val="16"/>
        </w:rPr>
        <w:t> </w:t>
      </w:r>
      <w:r>
        <w:rPr>
          <w:sz w:val="16"/>
        </w:rPr>
        <w:t>sèche.</w:t>
      </w:r>
    </w:p>
    <w:p>
      <w:pPr>
        <w:pStyle w:val="BodyText"/>
        <w:spacing w:before="9"/>
        <w:rPr>
          <w:sz w:val="15"/>
        </w:rPr>
      </w:pPr>
    </w:p>
    <w:p>
      <w:pPr>
        <w:pStyle w:val="ListParagraph"/>
        <w:numPr>
          <w:ilvl w:val="2"/>
          <w:numId w:val="11"/>
        </w:numPr>
        <w:tabs>
          <w:tab w:pos="865" w:val="left" w:leader="none"/>
          <w:tab w:pos="866" w:val="left" w:leader="none"/>
        </w:tabs>
        <w:spacing w:line="240" w:lineRule="auto" w:before="0" w:after="0"/>
        <w:ind w:left="865" w:right="786" w:hanging="720"/>
        <w:jc w:val="left"/>
        <w:rPr>
          <w:sz w:val="16"/>
        </w:rPr>
      </w:pPr>
      <w:r>
        <w:rPr>
          <w:sz w:val="16"/>
        </w:rPr>
        <w:t>Toutes les</w:t>
      </w:r>
      <w:r>
        <w:rPr>
          <w:spacing w:val="-5"/>
          <w:sz w:val="16"/>
        </w:rPr>
        <w:t> </w:t>
      </w:r>
      <w:r>
        <w:rPr>
          <w:sz w:val="16"/>
        </w:rPr>
        <w:t>barres</w:t>
      </w:r>
      <w:r>
        <w:rPr>
          <w:spacing w:val="-5"/>
          <w:sz w:val="16"/>
        </w:rPr>
        <w:t> </w:t>
      </w:r>
      <w:r>
        <w:rPr>
          <w:sz w:val="16"/>
        </w:rPr>
        <w:t>«</w:t>
      </w:r>
      <w:r>
        <w:rPr>
          <w:spacing w:val="-1"/>
          <w:sz w:val="16"/>
        </w:rPr>
        <w:t> </w:t>
      </w:r>
      <w:r>
        <w:rPr>
          <w:sz w:val="16"/>
        </w:rPr>
        <w:t>Z</w:t>
      </w:r>
      <w:r>
        <w:rPr>
          <w:spacing w:val="-5"/>
          <w:sz w:val="16"/>
        </w:rPr>
        <w:t> </w:t>
      </w:r>
      <w:r>
        <w:rPr>
          <w:sz w:val="16"/>
        </w:rPr>
        <w:t>»</w:t>
      </w:r>
      <w:r>
        <w:rPr>
          <w:spacing w:val="-6"/>
          <w:sz w:val="16"/>
        </w:rPr>
        <w:t> </w:t>
      </w:r>
      <w:r>
        <w:rPr>
          <w:sz w:val="16"/>
        </w:rPr>
        <w:t>à</w:t>
      </w:r>
      <w:r>
        <w:rPr>
          <w:spacing w:val="0"/>
          <w:sz w:val="16"/>
        </w:rPr>
        <w:t> </w:t>
      </w:r>
      <w:r>
        <w:rPr>
          <w:sz w:val="16"/>
        </w:rPr>
        <w:t>l’extérieur</w:t>
      </w:r>
      <w:r>
        <w:rPr>
          <w:spacing w:val="-5"/>
          <w:sz w:val="16"/>
        </w:rPr>
        <w:t> </w:t>
      </w:r>
      <w:r>
        <w:rPr>
          <w:spacing w:val="1"/>
          <w:sz w:val="16"/>
        </w:rPr>
        <w:t>de</w:t>
      </w:r>
      <w:r>
        <w:rPr>
          <w:spacing w:val="-8"/>
          <w:sz w:val="16"/>
        </w:rPr>
        <w:t> </w:t>
      </w:r>
      <w:r>
        <w:rPr>
          <w:sz w:val="16"/>
        </w:rPr>
        <w:t>l’isolant</w:t>
      </w:r>
      <w:r>
        <w:rPr>
          <w:spacing w:val="-7"/>
          <w:sz w:val="16"/>
        </w:rPr>
        <w:t> </w:t>
      </w:r>
      <w:r>
        <w:rPr>
          <w:sz w:val="16"/>
        </w:rPr>
        <w:t>sont</w:t>
      </w:r>
      <w:r>
        <w:rPr>
          <w:spacing w:val="-2"/>
          <w:sz w:val="16"/>
        </w:rPr>
        <w:t> </w:t>
      </w:r>
      <w:r>
        <w:rPr>
          <w:sz w:val="16"/>
        </w:rPr>
        <w:t>fournies et</w:t>
      </w:r>
      <w:r>
        <w:rPr>
          <w:spacing w:val="-7"/>
          <w:sz w:val="16"/>
        </w:rPr>
        <w:t> </w:t>
      </w:r>
      <w:r>
        <w:rPr>
          <w:sz w:val="16"/>
        </w:rPr>
        <w:t>installées</w:t>
      </w:r>
      <w:r>
        <w:rPr>
          <w:spacing w:val="-5"/>
          <w:sz w:val="16"/>
        </w:rPr>
        <w:t> </w:t>
      </w:r>
      <w:r>
        <w:rPr>
          <w:sz w:val="16"/>
        </w:rPr>
        <w:t>par</w:t>
      </w:r>
      <w:r>
        <w:rPr>
          <w:spacing w:val="-5"/>
          <w:sz w:val="16"/>
        </w:rPr>
        <w:t> </w:t>
      </w:r>
      <w:r>
        <w:rPr>
          <w:sz w:val="16"/>
        </w:rPr>
        <w:t>le</w:t>
      </w:r>
      <w:r>
        <w:rPr>
          <w:spacing w:val="-8"/>
          <w:sz w:val="16"/>
        </w:rPr>
        <w:t> </w:t>
      </w:r>
      <w:r>
        <w:rPr>
          <w:sz w:val="16"/>
        </w:rPr>
        <w:t>sous-traitant</w:t>
      </w:r>
      <w:r>
        <w:rPr>
          <w:spacing w:val="-2"/>
          <w:sz w:val="16"/>
        </w:rPr>
        <w:t> </w:t>
      </w:r>
      <w:r>
        <w:rPr>
          <w:sz w:val="16"/>
        </w:rPr>
        <w:t>en</w:t>
      </w:r>
      <w:r>
        <w:rPr>
          <w:spacing w:val="-6"/>
          <w:sz w:val="16"/>
        </w:rPr>
        <w:t> </w:t>
      </w:r>
      <w:r>
        <w:rPr>
          <w:sz w:val="16"/>
        </w:rPr>
        <w:t>revêtement métallique.</w:t>
      </w:r>
    </w:p>
    <w:p>
      <w:pPr>
        <w:pStyle w:val="BodyText"/>
        <w:spacing w:before="2"/>
      </w:pPr>
    </w:p>
    <w:p>
      <w:pPr>
        <w:pStyle w:val="ListParagraph"/>
        <w:numPr>
          <w:ilvl w:val="2"/>
          <w:numId w:val="11"/>
        </w:numPr>
        <w:tabs>
          <w:tab w:pos="866" w:val="left" w:leader="none"/>
        </w:tabs>
        <w:spacing w:line="240" w:lineRule="auto" w:before="0" w:after="0"/>
        <w:ind w:left="865" w:right="149" w:hanging="720"/>
        <w:jc w:val="both"/>
        <w:rPr>
          <w:sz w:val="16"/>
        </w:rPr>
      </w:pPr>
      <w:r>
        <w:rPr>
          <w:sz w:val="16"/>
        </w:rPr>
        <w:t>Conformité : </w:t>
      </w:r>
      <w:r>
        <w:rPr>
          <w:spacing w:val="1"/>
          <w:sz w:val="16"/>
        </w:rPr>
        <w:t>se </w:t>
      </w:r>
      <w:r>
        <w:rPr>
          <w:sz w:val="16"/>
        </w:rPr>
        <w:t>conformer aux exigences, aux recommandations et aux spécifications écrites du fabricant, y compris tous les bulletins techniques disponibles tels que le guide d’installation, les séquences des</w:t>
      </w:r>
      <w:r>
        <w:rPr>
          <w:spacing w:val="18"/>
          <w:sz w:val="16"/>
        </w:rPr>
        <w:t> </w:t>
      </w:r>
      <w:r>
        <w:rPr>
          <w:sz w:val="16"/>
        </w:rPr>
        <w:t>vidéos</w:t>
      </w:r>
    </w:p>
    <w:p>
      <w:pPr>
        <w:spacing w:after="0" w:line="240" w:lineRule="auto"/>
        <w:jc w:val="both"/>
        <w:rPr>
          <w:sz w:val="16"/>
        </w:rPr>
        <w:sectPr>
          <w:pgSz w:w="12240" w:h="15840"/>
          <w:pgMar w:header="515" w:footer="1467" w:top="1320" w:bottom="1660" w:left="1280" w:right="1260"/>
        </w:sectPr>
      </w:pPr>
    </w:p>
    <w:p>
      <w:pPr>
        <w:pStyle w:val="BodyText"/>
        <w:spacing w:before="93"/>
        <w:ind w:left="865"/>
      </w:pPr>
      <w:r>
        <w:rPr/>
        <w:t>d’installation disponibles sur la page web du manufacturier, aux instructions paraissant dans le catalogue des produits, à celles paraissant sur l’emballage des produits et aux indications des fiches techniques.</w:t>
      </w:r>
    </w:p>
    <w:p>
      <w:pPr>
        <w:pStyle w:val="BodyText"/>
        <w:spacing w:before="2"/>
      </w:pPr>
    </w:p>
    <w:p>
      <w:pPr>
        <w:pStyle w:val="ListParagraph"/>
        <w:numPr>
          <w:ilvl w:val="2"/>
          <w:numId w:val="11"/>
        </w:numPr>
        <w:tabs>
          <w:tab w:pos="865" w:val="left" w:leader="none"/>
          <w:tab w:pos="866" w:val="left" w:leader="none"/>
        </w:tabs>
        <w:spacing w:line="240" w:lineRule="auto" w:before="0" w:after="0"/>
        <w:ind w:left="865" w:right="202" w:hanging="720"/>
        <w:jc w:val="left"/>
        <w:rPr>
          <w:sz w:val="16"/>
        </w:rPr>
      </w:pPr>
      <w:r>
        <w:rPr>
          <w:sz w:val="16"/>
        </w:rPr>
        <w:t>Poser</w:t>
      </w:r>
      <w:r>
        <w:rPr>
          <w:spacing w:val="-6"/>
          <w:sz w:val="16"/>
        </w:rPr>
        <w:t> </w:t>
      </w:r>
      <w:r>
        <w:rPr>
          <w:sz w:val="16"/>
        </w:rPr>
        <w:t>le</w:t>
      </w:r>
      <w:r>
        <w:rPr>
          <w:spacing w:val="-8"/>
          <w:sz w:val="16"/>
        </w:rPr>
        <w:t> </w:t>
      </w:r>
      <w:r>
        <w:rPr>
          <w:sz w:val="16"/>
        </w:rPr>
        <w:t>revêtement</w:t>
      </w:r>
      <w:r>
        <w:rPr>
          <w:spacing w:val="-7"/>
          <w:sz w:val="16"/>
        </w:rPr>
        <w:t> </w:t>
      </w:r>
      <w:r>
        <w:rPr>
          <w:spacing w:val="1"/>
          <w:sz w:val="16"/>
        </w:rPr>
        <w:t>de</w:t>
      </w:r>
      <w:r>
        <w:rPr>
          <w:spacing w:val="-4"/>
          <w:sz w:val="16"/>
        </w:rPr>
        <w:t> </w:t>
      </w:r>
      <w:r>
        <w:rPr>
          <w:sz w:val="16"/>
        </w:rPr>
        <w:t>finition</w:t>
      </w:r>
      <w:r>
        <w:rPr>
          <w:spacing w:val="-7"/>
          <w:sz w:val="16"/>
        </w:rPr>
        <w:t> </w:t>
      </w:r>
      <w:r>
        <w:rPr>
          <w:sz w:val="16"/>
        </w:rPr>
        <w:t>extérieur</w:t>
      </w:r>
      <w:r>
        <w:rPr>
          <w:spacing w:val="-1"/>
          <w:sz w:val="16"/>
        </w:rPr>
        <w:t> </w:t>
      </w:r>
      <w:r>
        <w:rPr>
          <w:sz w:val="16"/>
        </w:rPr>
        <w:t>conformément</w:t>
      </w:r>
      <w:r>
        <w:rPr>
          <w:spacing w:val="-7"/>
          <w:sz w:val="16"/>
        </w:rPr>
        <w:t> </w:t>
      </w:r>
      <w:r>
        <w:rPr>
          <w:sz w:val="16"/>
        </w:rPr>
        <w:t>aux</w:t>
      </w:r>
      <w:r>
        <w:rPr>
          <w:spacing w:val="-1"/>
          <w:sz w:val="16"/>
        </w:rPr>
        <w:t> </w:t>
      </w:r>
      <w:r>
        <w:rPr>
          <w:sz w:val="16"/>
        </w:rPr>
        <w:t>exigences</w:t>
      </w:r>
      <w:r>
        <w:rPr>
          <w:spacing w:val="-6"/>
          <w:sz w:val="16"/>
        </w:rPr>
        <w:t> </w:t>
      </w:r>
      <w:r>
        <w:rPr>
          <w:sz w:val="16"/>
        </w:rPr>
        <w:t>de</w:t>
      </w:r>
      <w:r>
        <w:rPr>
          <w:spacing w:val="-4"/>
          <w:sz w:val="16"/>
        </w:rPr>
        <w:t> </w:t>
      </w:r>
      <w:r>
        <w:rPr>
          <w:sz w:val="16"/>
        </w:rPr>
        <w:t>la norme</w:t>
      </w:r>
      <w:r>
        <w:rPr>
          <w:spacing w:val="-4"/>
          <w:sz w:val="16"/>
        </w:rPr>
        <w:t> </w:t>
      </w:r>
      <w:r>
        <w:rPr>
          <w:sz w:val="16"/>
        </w:rPr>
        <w:t>CGSB</w:t>
      </w:r>
      <w:r>
        <w:rPr>
          <w:spacing w:val="-1"/>
          <w:sz w:val="16"/>
        </w:rPr>
        <w:t> </w:t>
      </w:r>
      <w:r>
        <w:rPr>
          <w:sz w:val="16"/>
        </w:rPr>
        <w:t>93.5</w:t>
      </w:r>
      <w:r>
        <w:rPr>
          <w:spacing w:val="-3"/>
          <w:sz w:val="16"/>
        </w:rPr>
        <w:t> </w:t>
      </w:r>
      <w:r>
        <w:rPr>
          <w:sz w:val="16"/>
        </w:rPr>
        <w:t>et</w:t>
      </w:r>
      <w:r>
        <w:rPr>
          <w:spacing w:val="-3"/>
          <w:sz w:val="16"/>
        </w:rPr>
        <w:t> </w:t>
      </w:r>
      <w:r>
        <w:rPr>
          <w:sz w:val="16"/>
        </w:rPr>
        <w:t>aux</w:t>
      </w:r>
      <w:r>
        <w:rPr>
          <w:spacing w:val="-1"/>
          <w:sz w:val="16"/>
        </w:rPr>
        <w:t> </w:t>
      </w:r>
      <w:r>
        <w:rPr>
          <w:sz w:val="16"/>
        </w:rPr>
        <w:t>exigences du</w:t>
      </w:r>
      <w:r>
        <w:rPr>
          <w:spacing w:val="-3"/>
          <w:sz w:val="16"/>
        </w:rPr>
        <w:t> </w:t>
      </w:r>
      <w:r>
        <w:rPr>
          <w:sz w:val="16"/>
        </w:rPr>
        <w:t>fabricant.</w:t>
      </w:r>
    </w:p>
    <w:p>
      <w:pPr>
        <w:pStyle w:val="BodyText"/>
        <w:spacing w:before="7"/>
        <w:rPr>
          <w:sz w:val="15"/>
        </w:rPr>
      </w:pPr>
    </w:p>
    <w:p>
      <w:pPr>
        <w:pStyle w:val="Heading2"/>
        <w:numPr>
          <w:ilvl w:val="2"/>
          <w:numId w:val="12"/>
        </w:numPr>
        <w:tabs>
          <w:tab w:pos="865" w:val="left" w:leader="none"/>
          <w:tab w:pos="866" w:val="left" w:leader="none"/>
        </w:tabs>
        <w:spacing w:line="240" w:lineRule="auto" w:before="1" w:after="0"/>
        <w:ind w:left="865" w:right="0" w:hanging="720"/>
        <w:jc w:val="left"/>
      </w:pPr>
      <w:r>
        <w:rPr/>
        <w:t>NETTOYAGE</w:t>
      </w:r>
    </w:p>
    <w:p>
      <w:pPr>
        <w:pStyle w:val="ListParagraph"/>
        <w:numPr>
          <w:ilvl w:val="2"/>
          <w:numId w:val="12"/>
        </w:numPr>
        <w:tabs>
          <w:tab w:pos="865" w:val="left" w:leader="none"/>
          <w:tab w:pos="866" w:val="left" w:leader="none"/>
        </w:tabs>
        <w:spacing w:line="240" w:lineRule="auto" w:before="198" w:after="0"/>
        <w:ind w:left="865" w:right="152" w:hanging="720"/>
        <w:jc w:val="left"/>
        <w:rPr>
          <w:sz w:val="16"/>
        </w:rPr>
      </w:pPr>
      <w:r>
        <w:rPr>
          <w:sz w:val="16"/>
        </w:rPr>
        <w:t>Suivre les recommandations du fabricant pour l’entretien et nettoyage des panneaux. Ne pas employer des solvants ou produits</w:t>
      </w:r>
      <w:r>
        <w:rPr>
          <w:spacing w:val="-5"/>
          <w:sz w:val="16"/>
        </w:rPr>
        <w:t> </w:t>
      </w:r>
      <w:r>
        <w:rPr>
          <w:sz w:val="16"/>
        </w:rPr>
        <w:t>chimiques.</w:t>
      </w:r>
    </w:p>
    <w:p>
      <w:pPr>
        <w:pStyle w:val="BodyText"/>
        <w:spacing w:before="2"/>
      </w:pPr>
    </w:p>
    <w:p>
      <w:pPr>
        <w:pStyle w:val="ListParagraph"/>
        <w:numPr>
          <w:ilvl w:val="2"/>
          <w:numId w:val="12"/>
        </w:numPr>
        <w:tabs>
          <w:tab w:pos="865" w:val="left" w:leader="none"/>
          <w:tab w:pos="866" w:val="left" w:leader="none"/>
        </w:tabs>
        <w:spacing w:line="240" w:lineRule="auto" w:before="0" w:after="0"/>
        <w:ind w:left="865" w:right="0" w:hanging="720"/>
        <w:jc w:val="left"/>
        <w:rPr>
          <w:sz w:val="16"/>
        </w:rPr>
      </w:pPr>
      <w:r>
        <w:rPr>
          <w:sz w:val="16"/>
        </w:rPr>
        <w:t>Laisser</w:t>
      </w:r>
      <w:r>
        <w:rPr>
          <w:spacing w:val="-2"/>
          <w:sz w:val="16"/>
        </w:rPr>
        <w:t> </w:t>
      </w:r>
      <w:r>
        <w:rPr>
          <w:sz w:val="16"/>
        </w:rPr>
        <w:t>la zone</w:t>
      </w:r>
      <w:r>
        <w:rPr>
          <w:spacing w:val="-5"/>
          <w:sz w:val="16"/>
        </w:rPr>
        <w:t> </w:t>
      </w:r>
      <w:r>
        <w:rPr>
          <w:sz w:val="16"/>
        </w:rPr>
        <w:t>des</w:t>
      </w:r>
      <w:r>
        <w:rPr>
          <w:spacing w:val="-2"/>
          <w:sz w:val="16"/>
        </w:rPr>
        <w:t> </w:t>
      </w:r>
      <w:r>
        <w:rPr>
          <w:sz w:val="16"/>
        </w:rPr>
        <w:t>travaux</w:t>
      </w:r>
      <w:r>
        <w:rPr>
          <w:spacing w:val="-2"/>
          <w:sz w:val="16"/>
        </w:rPr>
        <w:t> </w:t>
      </w:r>
      <w:r>
        <w:rPr>
          <w:sz w:val="16"/>
        </w:rPr>
        <w:t>propre et</w:t>
      </w:r>
      <w:r>
        <w:rPr>
          <w:spacing w:val="0"/>
          <w:sz w:val="16"/>
        </w:rPr>
        <w:t> </w:t>
      </w:r>
      <w:r>
        <w:rPr>
          <w:sz w:val="16"/>
        </w:rPr>
        <w:t>exempte</w:t>
      </w:r>
      <w:r>
        <w:rPr>
          <w:spacing w:val="-5"/>
          <w:sz w:val="16"/>
        </w:rPr>
        <w:t> </w:t>
      </w:r>
      <w:r>
        <w:rPr>
          <w:sz w:val="16"/>
        </w:rPr>
        <w:t>de graisse,</w:t>
      </w:r>
      <w:r>
        <w:rPr>
          <w:spacing w:val="-3"/>
          <w:sz w:val="16"/>
        </w:rPr>
        <w:t> </w:t>
      </w:r>
      <w:r>
        <w:rPr>
          <w:spacing w:val="1"/>
          <w:sz w:val="16"/>
        </w:rPr>
        <w:t>de</w:t>
      </w:r>
      <w:r>
        <w:rPr>
          <w:spacing w:val="-4"/>
          <w:sz w:val="16"/>
        </w:rPr>
        <w:t> </w:t>
      </w:r>
      <w:r>
        <w:rPr>
          <w:sz w:val="16"/>
        </w:rPr>
        <w:t>taches</w:t>
      </w:r>
      <w:r>
        <w:rPr>
          <w:spacing w:val="-2"/>
          <w:sz w:val="16"/>
        </w:rPr>
        <w:t> </w:t>
      </w:r>
      <w:r>
        <w:rPr>
          <w:sz w:val="16"/>
        </w:rPr>
        <w:t>et</w:t>
      </w:r>
      <w:r>
        <w:rPr>
          <w:spacing w:val="-4"/>
          <w:sz w:val="16"/>
        </w:rPr>
        <w:t> </w:t>
      </w:r>
      <w:r>
        <w:rPr>
          <w:sz w:val="16"/>
        </w:rPr>
        <w:t>de marques</w:t>
      </w:r>
      <w:r>
        <w:rPr>
          <w:spacing w:val="-2"/>
          <w:sz w:val="16"/>
        </w:rPr>
        <w:t> </w:t>
      </w:r>
      <w:r>
        <w:rPr>
          <w:spacing w:val="1"/>
          <w:sz w:val="16"/>
        </w:rPr>
        <w:t>de</w:t>
      </w:r>
      <w:r>
        <w:rPr>
          <w:spacing w:val="-5"/>
          <w:sz w:val="16"/>
        </w:rPr>
        <w:t> </w:t>
      </w:r>
      <w:r>
        <w:rPr>
          <w:sz w:val="16"/>
        </w:rPr>
        <w:t>doigts.</w:t>
      </w:r>
    </w:p>
    <w:sectPr>
      <w:pgSz w:w="12240" w:h="15840"/>
      <w:pgMar w:header="515" w:footer="1467" w:top="1320" w:bottom="1660" w:left="1280" w:right="12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entury Gothic">
    <w:altName w:val="Century Gothic"/>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243.790604pt;margin-top:707.65155pt;width:299.95pt;height:39.1pt;mso-position-horizontal-relative:page;mso-position-vertical-relative:page;z-index:-8104" type="#_x0000_t202" filled="false" stroked="false">
          <v:textbox inset="0,0,0,0">
            <w:txbxContent>
              <w:p>
                <w:pPr>
                  <w:spacing w:line="245" w:lineRule="exact" w:before="21"/>
                  <w:ind w:left="5847" w:right="0" w:firstLine="0"/>
                  <w:jc w:val="left"/>
                  <w:rPr>
                    <w:sz w:val="20"/>
                  </w:rPr>
                </w:pPr>
                <w:r>
                  <w:rPr/>
                  <w:fldChar w:fldCharType="begin"/>
                </w:r>
                <w:r>
                  <w:rPr>
                    <w:w w:val="100"/>
                    <w:sz w:val="20"/>
                  </w:rPr>
                  <w:instrText> PAGE </w:instrText>
                </w:r>
                <w:r>
                  <w:rPr/>
                  <w:fldChar w:fldCharType="separate"/>
                </w:r>
                <w:r>
                  <w:rPr/>
                  <w:t>1</w:t>
                </w:r>
                <w:r>
                  <w:rPr/>
                  <w:fldChar w:fldCharType="end"/>
                </w:r>
              </w:p>
              <w:p>
                <w:pPr>
                  <w:spacing w:line="244" w:lineRule="auto" w:before="0"/>
                  <w:ind w:left="20" w:right="33" w:firstLine="3566"/>
                  <w:jc w:val="right"/>
                  <w:rPr>
                    <w:sz w:val="20"/>
                  </w:rPr>
                </w:pPr>
                <w:r>
                  <w:rPr>
                    <w:sz w:val="20"/>
                  </w:rPr>
                  <w:t>Mac Metal Architectural</w:t>
                </w:r>
                <w:r>
                  <w:rPr>
                    <w:w w:val="100"/>
                    <w:sz w:val="20"/>
                  </w:rPr>
                  <w:t> </w:t>
                </w:r>
                <w:r>
                  <w:rPr>
                    <w:sz w:val="20"/>
                  </w:rPr>
                  <w:t>3099 Rue Bernard-Pilon, Saint-Mathieu-de-Beloeil, QC J3G 4S5</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drawing>
        <wp:anchor distT="0" distB="0" distL="0" distR="0" allowOverlap="1" layoutInCell="1" locked="0" behindDoc="1" simplePos="0" relativeHeight="268427303">
          <wp:simplePos x="0" y="0"/>
          <wp:positionH relativeFrom="page">
            <wp:posOffset>542329</wp:posOffset>
          </wp:positionH>
          <wp:positionV relativeFrom="page">
            <wp:posOffset>327063</wp:posOffset>
          </wp:positionV>
          <wp:extent cx="782637" cy="383222"/>
          <wp:effectExtent l="0" t="0" r="0" b="0"/>
          <wp:wrapNone/>
          <wp:docPr id="1" name="image1.png" descr=""/>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Pr/>
      <w:pict>
        <v:shapetype id="_x0000_t202" o:spt="202" coordsize="21600,21600" path="m,l,21600r21600,l21600,xe">
          <v:stroke joinstyle="miter"/>
          <v:path gradientshapeok="t" o:connecttype="rect"/>
        </v:shapetype>
        <v:shape style="position:absolute;margin-left:222.910599pt;margin-top:34.691536pt;width:167.2pt;height:26.85pt;mso-position-horizontal-relative:page;mso-position-vertical-relative:page;z-index:-8128" type="#_x0000_t202" filled="false" stroked="false">
          <v:textbox inset="0,0,0,0">
            <w:txbxContent>
              <w:p>
                <w:pPr>
                  <w:spacing w:before="21"/>
                  <w:ind w:left="2" w:right="2" w:firstLine="0"/>
                  <w:jc w:val="center"/>
                  <w:rPr>
                    <w:sz w:val="20"/>
                  </w:rPr>
                </w:pPr>
                <w:r>
                  <w:rPr>
                    <w:sz w:val="20"/>
                  </w:rPr>
                  <w:t>Devis type</w:t>
                </w:r>
              </w:p>
              <w:p>
                <w:pPr>
                  <w:spacing w:before="5"/>
                  <w:ind w:left="2" w:right="2" w:firstLine="0"/>
                  <w:jc w:val="center"/>
                  <w:rPr>
                    <w:sz w:val="20"/>
                  </w:rPr>
                </w:pPr>
                <w:r>
                  <w:rPr>
                    <w:sz w:val="20"/>
                  </w:rPr>
                  <w:t>MAC Metal Architectural – MS 750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1">
    <w:multiLevelType w:val="hybridMultilevel"/>
    <w:lvl w:ilvl="0">
      <w:start w:val="3"/>
      <w:numFmt w:val="decimal"/>
      <w:lvlText w:val="%1"/>
      <w:lvlJc w:val="left"/>
      <w:pPr>
        <w:ind w:left="865" w:hanging="720"/>
        <w:jc w:val="left"/>
      </w:pPr>
      <w:rPr>
        <w:rFonts w:hint="default"/>
      </w:rPr>
    </w:lvl>
    <w:lvl w:ilvl="1">
      <w:start w:val="1"/>
      <w:numFmt w:val="decimal"/>
      <w:lvlText w:val="%1.%2"/>
      <w:lvlJc w:val="left"/>
      <w:pPr>
        <w:ind w:left="865" w:hanging="720"/>
        <w:jc w:val="left"/>
      </w:pPr>
      <w:rPr>
        <w:rFonts w:hint="default"/>
      </w:rPr>
    </w:lvl>
    <w:lvl w:ilvl="2">
      <w:start w:val="1"/>
      <w:numFmt w:val="decimal"/>
      <w:lvlText w:val="%1.%2.%3"/>
      <w:lvlJc w:val="left"/>
      <w:pPr>
        <w:ind w:left="865" w:hanging="720"/>
        <w:jc w:val="left"/>
      </w:pPr>
      <w:rPr>
        <w:rFonts w:hint="default"/>
        <w:spacing w:val="-4"/>
        <w:w w:val="100"/>
      </w:rPr>
    </w:lvl>
    <w:lvl w:ilvl="3">
      <w:start w:val="0"/>
      <w:numFmt w:val="bullet"/>
      <w:lvlText w:val="•"/>
      <w:lvlJc w:val="left"/>
      <w:pPr>
        <w:ind w:left="3512" w:hanging="720"/>
      </w:pPr>
      <w:rPr>
        <w:rFonts w:hint="default"/>
      </w:rPr>
    </w:lvl>
    <w:lvl w:ilvl="4">
      <w:start w:val="0"/>
      <w:numFmt w:val="bullet"/>
      <w:lvlText w:val="•"/>
      <w:lvlJc w:val="left"/>
      <w:pPr>
        <w:ind w:left="4396" w:hanging="720"/>
      </w:pPr>
      <w:rPr>
        <w:rFonts w:hint="default"/>
      </w:rPr>
    </w:lvl>
    <w:lvl w:ilvl="5">
      <w:start w:val="0"/>
      <w:numFmt w:val="bullet"/>
      <w:lvlText w:val="•"/>
      <w:lvlJc w:val="left"/>
      <w:pPr>
        <w:ind w:left="5280" w:hanging="720"/>
      </w:pPr>
      <w:rPr>
        <w:rFonts w:hint="default"/>
      </w:rPr>
    </w:lvl>
    <w:lvl w:ilvl="6">
      <w:start w:val="0"/>
      <w:numFmt w:val="bullet"/>
      <w:lvlText w:val="•"/>
      <w:lvlJc w:val="left"/>
      <w:pPr>
        <w:ind w:left="6164" w:hanging="720"/>
      </w:pPr>
      <w:rPr>
        <w:rFonts w:hint="default"/>
      </w:rPr>
    </w:lvl>
    <w:lvl w:ilvl="7">
      <w:start w:val="0"/>
      <w:numFmt w:val="bullet"/>
      <w:lvlText w:val="•"/>
      <w:lvlJc w:val="left"/>
      <w:pPr>
        <w:ind w:left="7048" w:hanging="720"/>
      </w:pPr>
      <w:rPr>
        <w:rFonts w:hint="default"/>
      </w:rPr>
    </w:lvl>
    <w:lvl w:ilvl="8">
      <w:start w:val="0"/>
      <w:numFmt w:val="bullet"/>
      <w:lvlText w:val="•"/>
      <w:lvlJc w:val="left"/>
      <w:pPr>
        <w:ind w:left="7932" w:hanging="720"/>
      </w:pPr>
      <w:rPr>
        <w:rFonts w:hint="default"/>
      </w:rPr>
    </w:lvl>
  </w:abstractNum>
  <w:abstractNum w:abstractNumId="10">
    <w:multiLevelType w:val="hybridMultilevel"/>
    <w:lvl w:ilvl="0">
      <w:start w:val="3"/>
      <w:numFmt w:val="decimal"/>
      <w:lvlText w:val="%1"/>
      <w:lvlJc w:val="left"/>
      <w:pPr>
        <w:ind w:left="485" w:hanging="341"/>
        <w:jc w:val="left"/>
      </w:pPr>
      <w:rPr>
        <w:rFonts w:hint="default"/>
      </w:rPr>
    </w:lvl>
    <w:lvl w:ilvl="1">
      <w:start w:val="1"/>
      <w:numFmt w:val="decimal"/>
      <w:lvlText w:val="%1.%2"/>
      <w:lvlJc w:val="left"/>
      <w:pPr>
        <w:ind w:left="485" w:hanging="341"/>
        <w:jc w:val="left"/>
      </w:pPr>
      <w:rPr>
        <w:rFonts w:hint="default" w:ascii="Century Gothic" w:hAnsi="Century Gothic" w:eastAsia="Century Gothic" w:cs="Century Gothic"/>
        <w:b/>
        <w:bCs/>
        <w:spacing w:val="-4"/>
        <w:w w:val="100"/>
        <w:sz w:val="20"/>
        <w:szCs w:val="20"/>
      </w:rPr>
    </w:lvl>
    <w:lvl w:ilvl="2">
      <w:start w:val="1"/>
      <w:numFmt w:val="decimal"/>
      <w:lvlText w:val="%1.%2.%3"/>
      <w:lvlJc w:val="left"/>
      <w:pPr>
        <w:ind w:left="865" w:hanging="720"/>
        <w:jc w:val="left"/>
      </w:pPr>
      <w:rPr>
        <w:rFonts w:hint="default" w:ascii="Century Gothic" w:hAnsi="Century Gothic" w:eastAsia="Century Gothic" w:cs="Century Gothic"/>
        <w:spacing w:val="-2"/>
        <w:w w:val="99"/>
        <w:sz w:val="16"/>
        <w:szCs w:val="16"/>
      </w:rPr>
    </w:lvl>
    <w:lvl w:ilvl="3">
      <w:start w:val="0"/>
      <w:numFmt w:val="bullet"/>
      <w:lvlText w:val="•"/>
      <w:lvlJc w:val="left"/>
      <w:pPr>
        <w:ind w:left="2824" w:hanging="720"/>
      </w:pPr>
      <w:rPr>
        <w:rFonts w:hint="default"/>
      </w:rPr>
    </w:lvl>
    <w:lvl w:ilvl="4">
      <w:start w:val="0"/>
      <w:numFmt w:val="bullet"/>
      <w:lvlText w:val="•"/>
      <w:lvlJc w:val="left"/>
      <w:pPr>
        <w:ind w:left="3806" w:hanging="720"/>
      </w:pPr>
      <w:rPr>
        <w:rFonts w:hint="default"/>
      </w:rPr>
    </w:lvl>
    <w:lvl w:ilvl="5">
      <w:start w:val="0"/>
      <w:numFmt w:val="bullet"/>
      <w:lvlText w:val="•"/>
      <w:lvlJc w:val="left"/>
      <w:pPr>
        <w:ind w:left="4788" w:hanging="720"/>
      </w:pPr>
      <w:rPr>
        <w:rFonts w:hint="default"/>
      </w:rPr>
    </w:lvl>
    <w:lvl w:ilvl="6">
      <w:start w:val="0"/>
      <w:numFmt w:val="bullet"/>
      <w:lvlText w:val="•"/>
      <w:lvlJc w:val="left"/>
      <w:pPr>
        <w:ind w:left="5771" w:hanging="720"/>
      </w:pPr>
      <w:rPr>
        <w:rFonts w:hint="default"/>
      </w:rPr>
    </w:lvl>
    <w:lvl w:ilvl="7">
      <w:start w:val="0"/>
      <w:numFmt w:val="bullet"/>
      <w:lvlText w:val="•"/>
      <w:lvlJc w:val="left"/>
      <w:pPr>
        <w:ind w:left="6753" w:hanging="720"/>
      </w:pPr>
      <w:rPr>
        <w:rFonts w:hint="default"/>
      </w:rPr>
    </w:lvl>
    <w:lvl w:ilvl="8">
      <w:start w:val="0"/>
      <w:numFmt w:val="bullet"/>
      <w:lvlText w:val="•"/>
      <w:lvlJc w:val="left"/>
      <w:pPr>
        <w:ind w:left="7735" w:hanging="720"/>
      </w:pPr>
      <w:rPr>
        <w:rFonts w:hint="default"/>
      </w:rPr>
    </w:lvl>
  </w:abstractNum>
  <w:abstractNum w:abstractNumId="9">
    <w:multiLevelType w:val="hybridMultilevel"/>
    <w:lvl w:ilvl="0">
      <w:start w:val="2"/>
      <w:numFmt w:val="decimal"/>
      <w:lvlText w:val="%1"/>
      <w:lvlJc w:val="left"/>
      <w:pPr>
        <w:ind w:left="1047" w:hanging="720"/>
        <w:jc w:val="left"/>
      </w:pPr>
      <w:rPr>
        <w:rFonts w:hint="default"/>
      </w:rPr>
    </w:lvl>
    <w:lvl w:ilvl="1">
      <w:start w:val="2"/>
      <w:numFmt w:val="decimal"/>
      <w:lvlText w:val="%1.%2"/>
      <w:lvlJc w:val="left"/>
      <w:pPr>
        <w:ind w:left="1047" w:hanging="720"/>
        <w:jc w:val="left"/>
      </w:pPr>
      <w:rPr>
        <w:rFonts w:hint="default"/>
      </w:rPr>
    </w:lvl>
    <w:lvl w:ilvl="2">
      <w:start w:val="5"/>
      <w:numFmt w:val="decimal"/>
      <w:lvlText w:val="%1.%2.%3"/>
      <w:lvlJc w:val="left"/>
      <w:pPr>
        <w:ind w:left="1047" w:hanging="720"/>
        <w:jc w:val="right"/>
      </w:pPr>
      <w:rPr>
        <w:rFonts w:hint="default" w:ascii="Century Gothic" w:hAnsi="Century Gothic" w:eastAsia="Century Gothic" w:cs="Century Gothic"/>
        <w:spacing w:val="-2"/>
        <w:w w:val="99"/>
        <w:sz w:val="16"/>
        <w:szCs w:val="16"/>
      </w:rPr>
    </w:lvl>
    <w:lvl w:ilvl="3">
      <w:start w:val="1"/>
      <w:numFmt w:val="decimal"/>
      <w:lvlText w:val="%1.%2.%3.%4"/>
      <w:lvlJc w:val="left"/>
      <w:pPr>
        <w:ind w:left="1494" w:hanging="1080"/>
        <w:jc w:val="left"/>
      </w:pPr>
      <w:rPr>
        <w:rFonts w:hint="default" w:ascii="Century Gothic" w:hAnsi="Century Gothic" w:eastAsia="Century Gothic" w:cs="Century Gothic"/>
        <w:spacing w:val="-2"/>
        <w:w w:val="99"/>
        <w:sz w:val="16"/>
        <w:szCs w:val="16"/>
      </w:rPr>
    </w:lvl>
    <w:lvl w:ilvl="4">
      <w:start w:val="0"/>
      <w:numFmt w:val="bullet"/>
      <w:lvlText w:val="-"/>
      <w:lvlJc w:val="left"/>
      <w:pPr>
        <w:ind w:left="865" w:hanging="360"/>
      </w:pPr>
      <w:rPr>
        <w:rFonts w:hint="default" w:ascii="Century Gothic" w:hAnsi="Century Gothic" w:eastAsia="Century Gothic" w:cs="Century Gothic"/>
        <w:w w:val="99"/>
        <w:sz w:val="16"/>
        <w:szCs w:val="16"/>
      </w:rPr>
    </w:lvl>
    <w:lvl w:ilvl="5">
      <w:start w:val="0"/>
      <w:numFmt w:val="bullet"/>
      <w:lvlText w:val="•"/>
      <w:lvlJc w:val="left"/>
      <w:pPr>
        <w:ind w:left="4575" w:hanging="360"/>
      </w:pPr>
      <w:rPr>
        <w:rFonts w:hint="default"/>
      </w:rPr>
    </w:lvl>
    <w:lvl w:ilvl="6">
      <w:start w:val="0"/>
      <w:numFmt w:val="bullet"/>
      <w:lvlText w:val="•"/>
      <w:lvlJc w:val="left"/>
      <w:pPr>
        <w:ind w:left="5600" w:hanging="360"/>
      </w:pPr>
      <w:rPr>
        <w:rFonts w:hint="default"/>
      </w:rPr>
    </w:lvl>
    <w:lvl w:ilvl="7">
      <w:start w:val="0"/>
      <w:numFmt w:val="bullet"/>
      <w:lvlText w:val="•"/>
      <w:lvlJc w:val="left"/>
      <w:pPr>
        <w:ind w:left="6625" w:hanging="360"/>
      </w:pPr>
      <w:rPr>
        <w:rFonts w:hint="default"/>
      </w:rPr>
    </w:lvl>
    <w:lvl w:ilvl="8">
      <w:start w:val="0"/>
      <w:numFmt w:val="bullet"/>
      <w:lvlText w:val="•"/>
      <w:lvlJc w:val="left"/>
      <w:pPr>
        <w:ind w:left="7650" w:hanging="360"/>
      </w:pPr>
      <w:rPr>
        <w:rFonts w:hint="default"/>
      </w:rPr>
    </w:lvl>
  </w:abstractNum>
  <w:abstractNum w:abstractNumId="8">
    <w:multiLevelType w:val="hybridMultilevel"/>
    <w:lvl w:ilvl="0">
      <w:start w:val="0"/>
      <w:numFmt w:val="bullet"/>
      <w:lvlText w:val="-"/>
      <w:lvlJc w:val="left"/>
      <w:pPr>
        <w:ind w:left="865" w:hanging="360"/>
      </w:pPr>
      <w:rPr>
        <w:rFonts w:hint="default" w:ascii="Century Gothic" w:hAnsi="Century Gothic" w:eastAsia="Century Gothic" w:cs="Century Gothic"/>
        <w:w w:val="99"/>
        <w:sz w:val="16"/>
        <w:szCs w:val="16"/>
      </w:rPr>
    </w:lvl>
    <w:lvl w:ilvl="1">
      <w:start w:val="0"/>
      <w:numFmt w:val="bullet"/>
      <w:lvlText w:val="•"/>
      <w:lvlJc w:val="left"/>
      <w:pPr>
        <w:ind w:left="1744" w:hanging="360"/>
      </w:pPr>
      <w:rPr>
        <w:rFonts w:hint="default"/>
      </w:rPr>
    </w:lvl>
    <w:lvl w:ilvl="2">
      <w:start w:val="0"/>
      <w:numFmt w:val="bullet"/>
      <w:lvlText w:val="•"/>
      <w:lvlJc w:val="left"/>
      <w:pPr>
        <w:ind w:left="2628" w:hanging="360"/>
      </w:pPr>
      <w:rPr>
        <w:rFonts w:hint="default"/>
      </w:rPr>
    </w:lvl>
    <w:lvl w:ilvl="3">
      <w:start w:val="0"/>
      <w:numFmt w:val="bullet"/>
      <w:lvlText w:val="•"/>
      <w:lvlJc w:val="left"/>
      <w:pPr>
        <w:ind w:left="3512" w:hanging="360"/>
      </w:pPr>
      <w:rPr>
        <w:rFonts w:hint="default"/>
      </w:rPr>
    </w:lvl>
    <w:lvl w:ilvl="4">
      <w:start w:val="0"/>
      <w:numFmt w:val="bullet"/>
      <w:lvlText w:val="•"/>
      <w:lvlJc w:val="left"/>
      <w:pPr>
        <w:ind w:left="4396" w:hanging="360"/>
      </w:pPr>
      <w:rPr>
        <w:rFonts w:hint="default"/>
      </w:rPr>
    </w:lvl>
    <w:lvl w:ilvl="5">
      <w:start w:val="0"/>
      <w:numFmt w:val="bullet"/>
      <w:lvlText w:val="•"/>
      <w:lvlJc w:val="left"/>
      <w:pPr>
        <w:ind w:left="5280" w:hanging="360"/>
      </w:pPr>
      <w:rPr>
        <w:rFonts w:hint="default"/>
      </w:rPr>
    </w:lvl>
    <w:lvl w:ilvl="6">
      <w:start w:val="0"/>
      <w:numFmt w:val="bullet"/>
      <w:lvlText w:val="•"/>
      <w:lvlJc w:val="left"/>
      <w:pPr>
        <w:ind w:left="6164" w:hanging="360"/>
      </w:pPr>
      <w:rPr>
        <w:rFonts w:hint="default"/>
      </w:rPr>
    </w:lvl>
    <w:lvl w:ilvl="7">
      <w:start w:val="0"/>
      <w:numFmt w:val="bullet"/>
      <w:lvlText w:val="•"/>
      <w:lvlJc w:val="left"/>
      <w:pPr>
        <w:ind w:left="7048" w:hanging="360"/>
      </w:pPr>
      <w:rPr>
        <w:rFonts w:hint="default"/>
      </w:rPr>
    </w:lvl>
    <w:lvl w:ilvl="8">
      <w:start w:val="0"/>
      <w:numFmt w:val="bullet"/>
      <w:lvlText w:val="•"/>
      <w:lvlJc w:val="left"/>
      <w:pPr>
        <w:ind w:left="7932" w:hanging="360"/>
      </w:pPr>
      <w:rPr>
        <w:rFonts w:hint="default"/>
      </w:rPr>
    </w:lvl>
  </w:abstractNum>
  <w:abstractNum w:abstractNumId="7">
    <w:multiLevelType w:val="hybridMultilevel"/>
    <w:lvl w:ilvl="0">
      <w:start w:val="0"/>
      <w:numFmt w:val="bullet"/>
      <w:lvlText w:val="-"/>
      <w:lvlJc w:val="left"/>
      <w:pPr>
        <w:ind w:left="865" w:hanging="360"/>
      </w:pPr>
      <w:rPr>
        <w:rFonts w:hint="default" w:ascii="Century Gothic" w:hAnsi="Century Gothic" w:eastAsia="Century Gothic" w:cs="Century Gothic"/>
        <w:w w:val="99"/>
        <w:sz w:val="16"/>
        <w:szCs w:val="16"/>
      </w:rPr>
    </w:lvl>
    <w:lvl w:ilvl="1">
      <w:start w:val="0"/>
      <w:numFmt w:val="bullet"/>
      <w:lvlText w:val="•"/>
      <w:lvlJc w:val="left"/>
      <w:pPr>
        <w:ind w:left="1744" w:hanging="360"/>
      </w:pPr>
      <w:rPr>
        <w:rFonts w:hint="default"/>
      </w:rPr>
    </w:lvl>
    <w:lvl w:ilvl="2">
      <w:start w:val="0"/>
      <w:numFmt w:val="bullet"/>
      <w:lvlText w:val="•"/>
      <w:lvlJc w:val="left"/>
      <w:pPr>
        <w:ind w:left="2628" w:hanging="360"/>
      </w:pPr>
      <w:rPr>
        <w:rFonts w:hint="default"/>
      </w:rPr>
    </w:lvl>
    <w:lvl w:ilvl="3">
      <w:start w:val="0"/>
      <w:numFmt w:val="bullet"/>
      <w:lvlText w:val="•"/>
      <w:lvlJc w:val="left"/>
      <w:pPr>
        <w:ind w:left="3512" w:hanging="360"/>
      </w:pPr>
      <w:rPr>
        <w:rFonts w:hint="default"/>
      </w:rPr>
    </w:lvl>
    <w:lvl w:ilvl="4">
      <w:start w:val="0"/>
      <w:numFmt w:val="bullet"/>
      <w:lvlText w:val="•"/>
      <w:lvlJc w:val="left"/>
      <w:pPr>
        <w:ind w:left="4396" w:hanging="360"/>
      </w:pPr>
      <w:rPr>
        <w:rFonts w:hint="default"/>
      </w:rPr>
    </w:lvl>
    <w:lvl w:ilvl="5">
      <w:start w:val="0"/>
      <w:numFmt w:val="bullet"/>
      <w:lvlText w:val="•"/>
      <w:lvlJc w:val="left"/>
      <w:pPr>
        <w:ind w:left="5280" w:hanging="360"/>
      </w:pPr>
      <w:rPr>
        <w:rFonts w:hint="default"/>
      </w:rPr>
    </w:lvl>
    <w:lvl w:ilvl="6">
      <w:start w:val="0"/>
      <w:numFmt w:val="bullet"/>
      <w:lvlText w:val="•"/>
      <w:lvlJc w:val="left"/>
      <w:pPr>
        <w:ind w:left="6164" w:hanging="360"/>
      </w:pPr>
      <w:rPr>
        <w:rFonts w:hint="default"/>
      </w:rPr>
    </w:lvl>
    <w:lvl w:ilvl="7">
      <w:start w:val="0"/>
      <w:numFmt w:val="bullet"/>
      <w:lvlText w:val="•"/>
      <w:lvlJc w:val="left"/>
      <w:pPr>
        <w:ind w:left="7048" w:hanging="360"/>
      </w:pPr>
      <w:rPr>
        <w:rFonts w:hint="default"/>
      </w:rPr>
    </w:lvl>
    <w:lvl w:ilvl="8">
      <w:start w:val="0"/>
      <w:numFmt w:val="bullet"/>
      <w:lvlText w:val="•"/>
      <w:lvlJc w:val="left"/>
      <w:pPr>
        <w:ind w:left="7932" w:hanging="360"/>
      </w:pPr>
      <w:rPr>
        <w:rFonts w:hint="default"/>
      </w:rPr>
    </w:lvl>
  </w:abstractNum>
  <w:abstractNum w:abstractNumId="6">
    <w:multiLevelType w:val="hybridMultilevel"/>
    <w:lvl w:ilvl="0">
      <w:start w:val="2"/>
      <w:numFmt w:val="decimal"/>
      <w:lvlText w:val="%1"/>
      <w:lvlJc w:val="left"/>
      <w:pPr>
        <w:ind w:left="793" w:hanging="528"/>
        <w:jc w:val="left"/>
      </w:pPr>
      <w:rPr>
        <w:rFonts w:hint="default"/>
      </w:rPr>
    </w:lvl>
    <w:lvl w:ilvl="1">
      <w:start w:val="1"/>
      <w:numFmt w:val="decimal"/>
      <w:lvlText w:val="%1.%2"/>
      <w:lvlJc w:val="left"/>
      <w:pPr>
        <w:ind w:left="793" w:hanging="528"/>
        <w:jc w:val="right"/>
      </w:pPr>
      <w:rPr>
        <w:rFonts w:hint="default"/>
      </w:rPr>
    </w:lvl>
    <w:lvl w:ilvl="2">
      <w:start w:val="1"/>
      <w:numFmt w:val="decimal"/>
      <w:lvlText w:val="%1.%2.%3"/>
      <w:lvlJc w:val="left"/>
      <w:pPr>
        <w:ind w:left="630" w:hanging="399"/>
        <w:jc w:val="right"/>
      </w:pPr>
      <w:rPr>
        <w:rFonts w:hint="default"/>
        <w:spacing w:val="-2"/>
        <w:w w:val="99"/>
      </w:rPr>
    </w:lvl>
    <w:lvl w:ilvl="3">
      <w:start w:val="2"/>
      <w:numFmt w:val="decimal"/>
      <w:lvlText w:val="%1.%2.%3.%4"/>
      <w:lvlJc w:val="left"/>
      <w:pPr>
        <w:ind w:left="265" w:hanging="399"/>
        <w:jc w:val="left"/>
      </w:pPr>
      <w:rPr>
        <w:rFonts w:hint="default" w:ascii="Century Gothic" w:hAnsi="Century Gothic" w:eastAsia="Century Gothic" w:cs="Century Gothic"/>
        <w:spacing w:val="-2"/>
        <w:w w:val="99"/>
        <w:sz w:val="16"/>
        <w:szCs w:val="16"/>
      </w:rPr>
    </w:lvl>
    <w:lvl w:ilvl="4">
      <w:start w:val="0"/>
      <w:numFmt w:val="bullet"/>
      <w:lvlText w:val="-"/>
      <w:lvlJc w:val="left"/>
      <w:pPr>
        <w:ind w:left="865" w:hanging="399"/>
      </w:pPr>
      <w:rPr>
        <w:rFonts w:hint="default" w:ascii="Century Gothic" w:hAnsi="Century Gothic" w:eastAsia="Century Gothic" w:cs="Century Gothic"/>
        <w:w w:val="99"/>
        <w:sz w:val="16"/>
        <w:szCs w:val="16"/>
      </w:rPr>
    </w:lvl>
    <w:lvl w:ilvl="5">
      <w:start w:val="0"/>
      <w:numFmt w:val="bullet"/>
      <w:lvlText w:val="•"/>
      <w:lvlJc w:val="left"/>
      <w:pPr>
        <w:ind w:left="2433" w:hanging="399"/>
      </w:pPr>
      <w:rPr>
        <w:rFonts w:hint="default"/>
      </w:rPr>
    </w:lvl>
    <w:lvl w:ilvl="6">
      <w:start w:val="0"/>
      <w:numFmt w:val="bullet"/>
      <w:lvlText w:val="•"/>
      <w:lvlJc w:val="left"/>
      <w:pPr>
        <w:ind w:left="3886" w:hanging="399"/>
      </w:pPr>
      <w:rPr>
        <w:rFonts w:hint="default"/>
      </w:rPr>
    </w:lvl>
    <w:lvl w:ilvl="7">
      <w:start w:val="0"/>
      <w:numFmt w:val="bullet"/>
      <w:lvlText w:val="•"/>
      <w:lvlJc w:val="left"/>
      <w:pPr>
        <w:ind w:left="5340" w:hanging="399"/>
      </w:pPr>
      <w:rPr>
        <w:rFonts w:hint="default"/>
      </w:rPr>
    </w:lvl>
    <w:lvl w:ilvl="8">
      <w:start w:val="0"/>
      <w:numFmt w:val="bullet"/>
      <w:lvlText w:val="•"/>
      <w:lvlJc w:val="left"/>
      <w:pPr>
        <w:ind w:left="6793" w:hanging="399"/>
      </w:pPr>
      <w:rPr>
        <w:rFonts w:hint="default"/>
      </w:rPr>
    </w:lvl>
  </w:abstractNum>
  <w:abstractNum w:abstractNumId="5">
    <w:multiLevelType w:val="hybridMultilevel"/>
    <w:lvl w:ilvl="0">
      <w:start w:val="2"/>
      <w:numFmt w:val="decimal"/>
      <w:lvlText w:val="%1"/>
      <w:lvlJc w:val="left"/>
      <w:pPr>
        <w:ind w:left="481" w:hanging="336"/>
        <w:jc w:val="left"/>
      </w:pPr>
      <w:rPr>
        <w:rFonts w:hint="default"/>
      </w:rPr>
    </w:lvl>
    <w:lvl w:ilvl="1">
      <w:start w:val="1"/>
      <w:numFmt w:val="decimal"/>
      <w:lvlText w:val="%1.%2"/>
      <w:lvlJc w:val="left"/>
      <w:pPr>
        <w:ind w:left="481" w:hanging="336"/>
        <w:jc w:val="left"/>
      </w:pPr>
      <w:rPr>
        <w:rFonts w:hint="default" w:ascii="Century Gothic" w:hAnsi="Century Gothic" w:eastAsia="Century Gothic" w:cs="Century Gothic"/>
        <w:b/>
        <w:bCs/>
        <w:spacing w:val="-4"/>
        <w:w w:val="100"/>
        <w:sz w:val="20"/>
        <w:szCs w:val="20"/>
      </w:rPr>
    </w:lvl>
    <w:lvl w:ilvl="2">
      <w:start w:val="1"/>
      <w:numFmt w:val="decimal"/>
      <w:lvlText w:val="%1.%2.%3"/>
      <w:lvlJc w:val="left"/>
      <w:pPr>
        <w:ind w:left="659" w:hanging="394"/>
        <w:jc w:val="left"/>
      </w:pPr>
      <w:rPr>
        <w:rFonts w:hint="default" w:ascii="Century Gothic" w:hAnsi="Century Gothic" w:eastAsia="Century Gothic" w:cs="Century Gothic"/>
        <w:spacing w:val="-2"/>
        <w:w w:val="99"/>
        <w:sz w:val="16"/>
        <w:szCs w:val="16"/>
      </w:rPr>
    </w:lvl>
    <w:lvl w:ilvl="3">
      <w:start w:val="1"/>
      <w:numFmt w:val="decimal"/>
      <w:lvlText w:val="%1.%2.%3.%4"/>
      <w:lvlJc w:val="left"/>
      <w:pPr>
        <w:ind w:left="265" w:hanging="528"/>
        <w:jc w:val="left"/>
      </w:pPr>
      <w:rPr>
        <w:rFonts w:hint="default" w:ascii="Century Gothic" w:hAnsi="Century Gothic" w:eastAsia="Century Gothic" w:cs="Century Gothic"/>
        <w:spacing w:val="-2"/>
        <w:w w:val="99"/>
        <w:sz w:val="16"/>
        <w:szCs w:val="16"/>
      </w:rPr>
    </w:lvl>
    <w:lvl w:ilvl="4">
      <w:start w:val="0"/>
      <w:numFmt w:val="bullet"/>
      <w:lvlText w:val="●"/>
      <w:lvlJc w:val="left"/>
      <w:pPr>
        <w:ind w:left="1071" w:hanging="360"/>
      </w:pPr>
      <w:rPr>
        <w:rFonts w:hint="default" w:ascii="Calibri" w:hAnsi="Calibri" w:eastAsia="Calibri" w:cs="Calibri"/>
        <w:w w:val="100"/>
        <w:sz w:val="20"/>
        <w:szCs w:val="20"/>
      </w:rPr>
    </w:lvl>
    <w:lvl w:ilvl="5">
      <w:start w:val="0"/>
      <w:numFmt w:val="bullet"/>
      <w:lvlText w:val="•"/>
      <w:lvlJc w:val="left"/>
      <w:pPr>
        <w:ind w:left="3542" w:hanging="360"/>
      </w:pPr>
      <w:rPr>
        <w:rFonts w:hint="default"/>
      </w:rPr>
    </w:lvl>
    <w:lvl w:ilvl="6">
      <w:start w:val="0"/>
      <w:numFmt w:val="bullet"/>
      <w:lvlText w:val="•"/>
      <w:lvlJc w:val="left"/>
      <w:pPr>
        <w:ind w:left="4774" w:hanging="360"/>
      </w:pPr>
      <w:rPr>
        <w:rFonts w:hint="default"/>
      </w:rPr>
    </w:lvl>
    <w:lvl w:ilvl="7">
      <w:start w:val="0"/>
      <w:numFmt w:val="bullet"/>
      <w:lvlText w:val="•"/>
      <w:lvlJc w:val="left"/>
      <w:pPr>
        <w:ind w:left="6005" w:hanging="360"/>
      </w:pPr>
      <w:rPr>
        <w:rFonts w:hint="default"/>
      </w:rPr>
    </w:lvl>
    <w:lvl w:ilvl="8">
      <w:start w:val="0"/>
      <w:numFmt w:val="bullet"/>
      <w:lvlText w:val="•"/>
      <w:lvlJc w:val="left"/>
      <w:pPr>
        <w:ind w:left="7237" w:hanging="360"/>
      </w:pPr>
      <w:rPr>
        <w:rFonts w:hint="default"/>
      </w:rPr>
    </w:lvl>
  </w:abstractNum>
  <w:abstractNum w:abstractNumId="4">
    <w:multiLevelType w:val="hybridMultilevel"/>
    <w:lvl w:ilvl="0">
      <w:start w:val="1"/>
      <w:numFmt w:val="decimal"/>
      <w:lvlText w:val="%1"/>
      <w:lvlJc w:val="left"/>
      <w:pPr>
        <w:ind w:left="807" w:hanging="600"/>
        <w:jc w:val="left"/>
      </w:pPr>
      <w:rPr>
        <w:rFonts w:hint="default"/>
      </w:rPr>
    </w:lvl>
    <w:lvl w:ilvl="1">
      <w:start w:val="9"/>
      <w:numFmt w:val="decimal"/>
      <w:lvlText w:val="%1.%2"/>
      <w:lvlJc w:val="left"/>
      <w:pPr>
        <w:ind w:left="807" w:hanging="600"/>
        <w:jc w:val="left"/>
      </w:pPr>
      <w:rPr>
        <w:rFonts w:hint="default" w:ascii="Century Gothic" w:hAnsi="Century Gothic" w:eastAsia="Century Gothic" w:cs="Century Gothic"/>
        <w:spacing w:val="-2"/>
        <w:w w:val="99"/>
        <w:sz w:val="16"/>
        <w:szCs w:val="16"/>
      </w:rPr>
    </w:lvl>
    <w:lvl w:ilvl="2">
      <w:start w:val="1"/>
      <w:numFmt w:val="decimal"/>
      <w:lvlText w:val="%1.%2.%3"/>
      <w:lvlJc w:val="left"/>
      <w:pPr>
        <w:ind w:left="985" w:hanging="720"/>
        <w:jc w:val="left"/>
      </w:pPr>
      <w:rPr>
        <w:rFonts w:hint="default" w:ascii="Century Gothic" w:hAnsi="Century Gothic" w:eastAsia="Century Gothic" w:cs="Century Gothic"/>
        <w:spacing w:val="-2"/>
        <w:w w:val="99"/>
        <w:sz w:val="16"/>
        <w:szCs w:val="16"/>
      </w:rPr>
    </w:lvl>
    <w:lvl w:ilvl="3">
      <w:start w:val="0"/>
      <w:numFmt w:val="bullet"/>
      <w:lvlText w:val="•"/>
      <w:lvlJc w:val="left"/>
      <w:pPr>
        <w:ind w:left="2917" w:hanging="720"/>
      </w:pPr>
      <w:rPr>
        <w:rFonts w:hint="default"/>
      </w:rPr>
    </w:lvl>
    <w:lvl w:ilvl="4">
      <w:start w:val="0"/>
      <w:numFmt w:val="bullet"/>
      <w:lvlText w:val="•"/>
      <w:lvlJc w:val="left"/>
      <w:pPr>
        <w:ind w:left="3886" w:hanging="720"/>
      </w:pPr>
      <w:rPr>
        <w:rFonts w:hint="default"/>
      </w:rPr>
    </w:lvl>
    <w:lvl w:ilvl="5">
      <w:start w:val="0"/>
      <w:numFmt w:val="bullet"/>
      <w:lvlText w:val="•"/>
      <w:lvlJc w:val="left"/>
      <w:pPr>
        <w:ind w:left="4855" w:hanging="720"/>
      </w:pPr>
      <w:rPr>
        <w:rFonts w:hint="default"/>
      </w:rPr>
    </w:lvl>
    <w:lvl w:ilvl="6">
      <w:start w:val="0"/>
      <w:numFmt w:val="bullet"/>
      <w:lvlText w:val="•"/>
      <w:lvlJc w:val="left"/>
      <w:pPr>
        <w:ind w:left="5824" w:hanging="720"/>
      </w:pPr>
      <w:rPr>
        <w:rFonts w:hint="default"/>
      </w:rPr>
    </w:lvl>
    <w:lvl w:ilvl="7">
      <w:start w:val="0"/>
      <w:numFmt w:val="bullet"/>
      <w:lvlText w:val="•"/>
      <w:lvlJc w:val="left"/>
      <w:pPr>
        <w:ind w:left="6793" w:hanging="720"/>
      </w:pPr>
      <w:rPr>
        <w:rFonts w:hint="default"/>
      </w:rPr>
    </w:lvl>
    <w:lvl w:ilvl="8">
      <w:start w:val="0"/>
      <w:numFmt w:val="bullet"/>
      <w:lvlText w:val="•"/>
      <w:lvlJc w:val="left"/>
      <w:pPr>
        <w:ind w:left="7762" w:hanging="720"/>
      </w:pPr>
      <w:rPr>
        <w:rFonts w:hint="default"/>
      </w:rPr>
    </w:lvl>
  </w:abstractNum>
  <w:abstractNum w:abstractNumId="3">
    <w:multiLevelType w:val="hybridMultilevel"/>
    <w:lvl w:ilvl="0">
      <w:start w:val="1"/>
      <w:numFmt w:val="decimal"/>
      <w:lvlText w:val="%1"/>
      <w:lvlJc w:val="left"/>
      <w:pPr>
        <w:ind w:left="807" w:hanging="600"/>
        <w:jc w:val="left"/>
      </w:pPr>
      <w:rPr>
        <w:rFonts w:hint="default"/>
      </w:rPr>
    </w:lvl>
    <w:lvl w:ilvl="1">
      <w:start w:val="8"/>
      <w:numFmt w:val="decimal"/>
      <w:lvlText w:val="%1.%2"/>
      <w:lvlJc w:val="left"/>
      <w:pPr>
        <w:ind w:left="807" w:hanging="600"/>
        <w:jc w:val="left"/>
      </w:pPr>
      <w:rPr>
        <w:rFonts w:hint="default" w:ascii="Century Gothic" w:hAnsi="Century Gothic" w:eastAsia="Century Gothic" w:cs="Century Gothic"/>
        <w:spacing w:val="-4"/>
        <w:w w:val="100"/>
        <w:sz w:val="20"/>
        <w:szCs w:val="20"/>
      </w:rPr>
    </w:lvl>
    <w:lvl w:ilvl="2">
      <w:start w:val="1"/>
      <w:numFmt w:val="decimal"/>
      <w:lvlText w:val="%1.%2.%3"/>
      <w:lvlJc w:val="left"/>
      <w:pPr>
        <w:ind w:left="985" w:hanging="720"/>
        <w:jc w:val="left"/>
      </w:pPr>
      <w:rPr>
        <w:rFonts w:hint="default" w:ascii="Century Gothic" w:hAnsi="Century Gothic" w:eastAsia="Century Gothic" w:cs="Century Gothic"/>
        <w:spacing w:val="-2"/>
        <w:w w:val="99"/>
        <w:sz w:val="16"/>
        <w:szCs w:val="16"/>
      </w:rPr>
    </w:lvl>
    <w:lvl w:ilvl="3">
      <w:start w:val="0"/>
      <w:numFmt w:val="bullet"/>
      <w:lvlText w:val="•"/>
      <w:lvlJc w:val="left"/>
      <w:pPr>
        <w:ind w:left="2917" w:hanging="720"/>
      </w:pPr>
      <w:rPr>
        <w:rFonts w:hint="default"/>
      </w:rPr>
    </w:lvl>
    <w:lvl w:ilvl="4">
      <w:start w:val="0"/>
      <w:numFmt w:val="bullet"/>
      <w:lvlText w:val="•"/>
      <w:lvlJc w:val="left"/>
      <w:pPr>
        <w:ind w:left="3886" w:hanging="720"/>
      </w:pPr>
      <w:rPr>
        <w:rFonts w:hint="default"/>
      </w:rPr>
    </w:lvl>
    <w:lvl w:ilvl="5">
      <w:start w:val="0"/>
      <w:numFmt w:val="bullet"/>
      <w:lvlText w:val="•"/>
      <w:lvlJc w:val="left"/>
      <w:pPr>
        <w:ind w:left="4855" w:hanging="720"/>
      </w:pPr>
      <w:rPr>
        <w:rFonts w:hint="default"/>
      </w:rPr>
    </w:lvl>
    <w:lvl w:ilvl="6">
      <w:start w:val="0"/>
      <w:numFmt w:val="bullet"/>
      <w:lvlText w:val="•"/>
      <w:lvlJc w:val="left"/>
      <w:pPr>
        <w:ind w:left="5824" w:hanging="720"/>
      </w:pPr>
      <w:rPr>
        <w:rFonts w:hint="default"/>
      </w:rPr>
    </w:lvl>
    <w:lvl w:ilvl="7">
      <w:start w:val="0"/>
      <w:numFmt w:val="bullet"/>
      <w:lvlText w:val="•"/>
      <w:lvlJc w:val="left"/>
      <w:pPr>
        <w:ind w:left="6793" w:hanging="720"/>
      </w:pPr>
      <w:rPr>
        <w:rFonts w:hint="default"/>
      </w:rPr>
    </w:lvl>
    <w:lvl w:ilvl="8">
      <w:start w:val="0"/>
      <w:numFmt w:val="bullet"/>
      <w:lvlText w:val="•"/>
      <w:lvlJc w:val="left"/>
      <w:pPr>
        <w:ind w:left="7762" w:hanging="720"/>
      </w:pPr>
      <w:rPr>
        <w:rFonts w:hint="default"/>
      </w:rPr>
    </w:lvl>
  </w:abstractNum>
  <w:abstractNum w:abstractNumId="2">
    <w:multiLevelType w:val="hybridMultilevel"/>
    <w:lvl w:ilvl="0">
      <w:start w:val="1"/>
      <w:numFmt w:val="decimal"/>
      <w:lvlText w:val="%1"/>
      <w:lvlJc w:val="left"/>
      <w:pPr>
        <w:ind w:left="894" w:hanging="720"/>
        <w:jc w:val="left"/>
      </w:pPr>
      <w:rPr>
        <w:rFonts w:hint="default"/>
      </w:rPr>
    </w:lvl>
    <w:lvl w:ilvl="1">
      <w:start w:val="2"/>
      <w:numFmt w:val="decimal"/>
      <w:lvlText w:val="%1.%2"/>
      <w:lvlJc w:val="left"/>
      <w:pPr>
        <w:ind w:left="894" w:hanging="720"/>
        <w:jc w:val="right"/>
      </w:pPr>
      <w:rPr>
        <w:rFonts w:hint="default"/>
        <w:b/>
        <w:bCs/>
        <w:spacing w:val="-4"/>
        <w:w w:val="100"/>
      </w:rPr>
    </w:lvl>
    <w:lvl w:ilvl="2">
      <w:start w:val="1"/>
      <w:numFmt w:val="decimal"/>
      <w:lvlText w:val="%1.%2.%3"/>
      <w:lvlJc w:val="left"/>
      <w:pPr>
        <w:ind w:left="865" w:hanging="394"/>
        <w:jc w:val="left"/>
      </w:pPr>
      <w:rPr>
        <w:rFonts w:hint="default" w:ascii="Century Gothic" w:hAnsi="Century Gothic" w:eastAsia="Century Gothic" w:cs="Century Gothic"/>
        <w:spacing w:val="-2"/>
        <w:w w:val="99"/>
        <w:sz w:val="16"/>
        <w:szCs w:val="16"/>
      </w:rPr>
    </w:lvl>
    <w:lvl w:ilvl="3">
      <w:start w:val="0"/>
      <w:numFmt w:val="bullet"/>
      <w:lvlText w:val="•"/>
      <w:lvlJc w:val="left"/>
      <w:pPr>
        <w:ind w:left="900" w:hanging="394"/>
      </w:pPr>
      <w:rPr>
        <w:rFonts w:hint="default"/>
      </w:rPr>
    </w:lvl>
    <w:lvl w:ilvl="4">
      <w:start w:val="0"/>
      <w:numFmt w:val="bullet"/>
      <w:lvlText w:val="•"/>
      <w:lvlJc w:val="left"/>
      <w:pPr>
        <w:ind w:left="980" w:hanging="394"/>
      </w:pPr>
      <w:rPr>
        <w:rFonts w:hint="default"/>
      </w:rPr>
    </w:lvl>
    <w:lvl w:ilvl="5">
      <w:start w:val="0"/>
      <w:numFmt w:val="bullet"/>
      <w:lvlText w:val="•"/>
      <w:lvlJc w:val="left"/>
      <w:pPr>
        <w:ind w:left="2433" w:hanging="394"/>
      </w:pPr>
      <w:rPr>
        <w:rFonts w:hint="default"/>
      </w:rPr>
    </w:lvl>
    <w:lvl w:ilvl="6">
      <w:start w:val="0"/>
      <w:numFmt w:val="bullet"/>
      <w:lvlText w:val="•"/>
      <w:lvlJc w:val="left"/>
      <w:pPr>
        <w:ind w:left="3886" w:hanging="394"/>
      </w:pPr>
      <w:rPr>
        <w:rFonts w:hint="default"/>
      </w:rPr>
    </w:lvl>
    <w:lvl w:ilvl="7">
      <w:start w:val="0"/>
      <w:numFmt w:val="bullet"/>
      <w:lvlText w:val="•"/>
      <w:lvlJc w:val="left"/>
      <w:pPr>
        <w:ind w:left="5340" w:hanging="394"/>
      </w:pPr>
      <w:rPr>
        <w:rFonts w:hint="default"/>
      </w:rPr>
    </w:lvl>
    <w:lvl w:ilvl="8">
      <w:start w:val="0"/>
      <w:numFmt w:val="bullet"/>
      <w:lvlText w:val="•"/>
      <w:lvlJc w:val="left"/>
      <w:pPr>
        <w:ind w:left="6793" w:hanging="394"/>
      </w:pPr>
      <w:rPr>
        <w:rFonts w:hint="default"/>
      </w:rPr>
    </w:lvl>
  </w:abstractNum>
  <w:abstractNum w:abstractNumId="1">
    <w:multiLevelType w:val="hybridMultilevel"/>
    <w:lvl w:ilvl="0">
      <w:start w:val="0"/>
      <w:numFmt w:val="bullet"/>
      <w:lvlText w:val="-"/>
      <w:lvlJc w:val="left"/>
      <w:pPr>
        <w:ind w:left="865" w:hanging="360"/>
      </w:pPr>
      <w:rPr>
        <w:rFonts w:hint="default" w:ascii="Century Gothic" w:hAnsi="Century Gothic" w:eastAsia="Century Gothic" w:cs="Century Gothic"/>
        <w:w w:val="99"/>
        <w:sz w:val="16"/>
        <w:szCs w:val="16"/>
      </w:rPr>
    </w:lvl>
    <w:lvl w:ilvl="1">
      <w:start w:val="0"/>
      <w:numFmt w:val="bullet"/>
      <w:lvlText w:val="•"/>
      <w:lvlJc w:val="left"/>
      <w:pPr>
        <w:ind w:left="1744" w:hanging="360"/>
      </w:pPr>
      <w:rPr>
        <w:rFonts w:hint="default"/>
      </w:rPr>
    </w:lvl>
    <w:lvl w:ilvl="2">
      <w:start w:val="0"/>
      <w:numFmt w:val="bullet"/>
      <w:lvlText w:val="•"/>
      <w:lvlJc w:val="left"/>
      <w:pPr>
        <w:ind w:left="2628" w:hanging="360"/>
      </w:pPr>
      <w:rPr>
        <w:rFonts w:hint="default"/>
      </w:rPr>
    </w:lvl>
    <w:lvl w:ilvl="3">
      <w:start w:val="0"/>
      <w:numFmt w:val="bullet"/>
      <w:lvlText w:val="•"/>
      <w:lvlJc w:val="left"/>
      <w:pPr>
        <w:ind w:left="3512" w:hanging="360"/>
      </w:pPr>
      <w:rPr>
        <w:rFonts w:hint="default"/>
      </w:rPr>
    </w:lvl>
    <w:lvl w:ilvl="4">
      <w:start w:val="0"/>
      <w:numFmt w:val="bullet"/>
      <w:lvlText w:val="•"/>
      <w:lvlJc w:val="left"/>
      <w:pPr>
        <w:ind w:left="4396" w:hanging="360"/>
      </w:pPr>
      <w:rPr>
        <w:rFonts w:hint="default"/>
      </w:rPr>
    </w:lvl>
    <w:lvl w:ilvl="5">
      <w:start w:val="0"/>
      <w:numFmt w:val="bullet"/>
      <w:lvlText w:val="•"/>
      <w:lvlJc w:val="left"/>
      <w:pPr>
        <w:ind w:left="5280" w:hanging="360"/>
      </w:pPr>
      <w:rPr>
        <w:rFonts w:hint="default"/>
      </w:rPr>
    </w:lvl>
    <w:lvl w:ilvl="6">
      <w:start w:val="0"/>
      <w:numFmt w:val="bullet"/>
      <w:lvlText w:val="•"/>
      <w:lvlJc w:val="left"/>
      <w:pPr>
        <w:ind w:left="6164" w:hanging="360"/>
      </w:pPr>
      <w:rPr>
        <w:rFonts w:hint="default"/>
      </w:rPr>
    </w:lvl>
    <w:lvl w:ilvl="7">
      <w:start w:val="0"/>
      <w:numFmt w:val="bullet"/>
      <w:lvlText w:val="•"/>
      <w:lvlJc w:val="left"/>
      <w:pPr>
        <w:ind w:left="7048" w:hanging="360"/>
      </w:pPr>
      <w:rPr>
        <w:rFonts w:hint="default"/>
      </w:rPr>
    </w:lvl>
    <w:lvl w:ilvl="8">
      <w:start w:val="0"/>
      <w:numFmt w:val="bullet"/>
      <w:lvlText w:val="•"/>
      <w:lvlJc w:val="left"/>
      <w:pPr>
        <w:ind w:left="7932" w:hanging="360"/>
      </w:pPr>
      <w:rPr>
        <w:rFonts w:hint="default"/>
      </w:rPr>
    </w:lvl>
  </w:abstractNum>
  <w:abstractNum w:abstractNumId="0">
    <w:multiLevelType w:val="hybridMultilevel"/>
    <w:lvl w:ilvl="0">
      <w:start w:val="1"/>
      <w:numFmt w:val="decimal"/>
      <w:lvlText w:val="%1"/>
      <w:lvlJc w:val="left"/>
      <w:pPr>
        <w:ind w:left="711" w:hanging="566"/>
        <w:jc w:val="left"/>
      </w:pPr>
      <w:rPr>
        <w:rFonts w:hint="default"/>
      </w:rPr>
    </w:lvl>
    <w:lvl w:ilvl="1">
      <w:start w:val="1"/>
      <w:numFmt w:val="decimal"/>
      <w:lvlText w:val="%1.%2"/>
      <w:lvlJc w:val="left"/>
      <w:pPr>
        <w:ind w:left="711" w:hanging="566"/>
        <w:jc w:val="left"/>
      </w:pPr>
      <w:rPr>
        <w:rFonts w:hint="default" w:ascii="Century Gothic" w:hAnsi="Century Gothic" w:eastAsia="Century Gothic" w:cs="Century Gothic"/>
        <w:b/>
        <w:bCs/>
        <w:spacing w:val="-4"/>
        <w:w w:val="100"/>
        <w:sz w:val="20"/>
        <w:szCs w:val="20"/>
      </w:rPr>
    </w:lvl>
    <w:lvl w:ilvl="2">
      <w:start w:val="1"/>
      <w:numFmt w:val="decimal"/>
      <w:lvlText w:val="%1.%2.%3."/>
      <w:lvlJc w:val="left"/>
      <w:pPr>
        <w:ind w:left="630" w:hanging="442"/>
        <w:jc w:val="left"/>
      </w:pPr>
      <w:rPr>
        <w:rFonts w:hint="default" w:ascii="Century Gothic" w:hAnsi="Century Gothic" w:eastAsia="Century Gothic" w:cs="Century Gothic"/>
        <w:spacing w:val="-2"/>
        <w:w w:val="99"/>
        <w:sz w:val="16"/>
        <w:szCs w:val="16"/>
      </w:rPr>
    </w:lvl>
    <w:lvl w:ilvl="3">
      <w:start w:val="0"/>
      <w:numFmt w:val="bullet"/>
      <w:lvlText w:val="-"/>
      <w:lvlJc w:val="left"/>
      <w:pPr>
        <w:ind w:left="865" w:hanging="360"/>
      </w:pPr>
      <w:rPr>
        <w:rFonts w:hint="default" w:ascii="Century Gothic" w:hAnsi="Century Gothic" w:eastAsia="Century Gothic" w:cs="Century Gothic"/>
        <w:w w:val="99"/>
        <w:sz w:val="16"/>
        <w:szCs w:val="16"/>
      </w:rPr>
    </w:lvl>
    <w:lvl w:ilvl="4">
      <w:start w:val="0"/>
      <w:numFmt w:val="bullet"/>
      <w:lvlText w:val="•"/>
      <w:lvlJc w:val="left"/>
      <w:pPr>
        <w:ind w:left="3070" w:hanging="360"/>
      </w:pPr>
      <w:rPr>
        <w:rFonts w:hint="default"/>
      </w:rPr>
    </w:lvl>
    <w:lvl w:ilvl="5">
      <w:start w:val="0"/>
      <w:numFmt w:val="bullet"/>
      <w:lvlText w:val="•"/>
      <w:lvlJc w:val="left"/>
      <w:pPr>
        <w:ind w:left="4175" w:hanging="360"/>
      </w:pPr>
      <w:rPr>
        <w:rFonts w:hint="default"/>
      </w:rPr>
    </w:lvl>
    <w:lvl w:ilvl="6">
      <w:start w:val="0"/>
      <w:numFmt w:val="bullet"/>
      <w:lvlText w:val="•"/>
      <w:lvlJc w:val="left"/>
      <w:pPr>
        <w:ind w:left="5280" w:hanging="360"/>
      </w:pPr>
      <w:rPr>
        <w:rFonts w:hint="default"/>
      </w:rPr>
    </w:lvl>
    <w:lvl w:ilvl="7">
      <w:start w:val="0"/>
      <w:numFmt w:val="bullet"/>
      <w:lvlText w:val="•"/>
      <w:lvlJc w:val="left"/>
      <w:pPr>
        <w:ind w:left="6385" w:hanging="360"/>
      </w:pPr>
      <w:rPr>
        <w:rFonts w:hint="default"/>
      </w:rPr>
    </w:lvl>
    <w:lvl w:ilvl="8">
      <w:start w:val="0"/>
      <w:numFmt w:val="bullet"/>
      <w:lvlText w:val="•"/>
      <w:lvlJc w:val="left"/>
      <w:pPr>
        <w:ind w:left="7490" w:hanging="360"/>
      </w:pPr>
      <w:rPr>
        <w:rFonts w:hint="default"/>
      </w:rPr>
    </w:lvl>
  </w:abstract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entury Gothic" w:hAnsi="Century Gothic" w:eastAsia="Century Gothic" w:cs="Century Gothic"/>
    </w:rPr>
  </w:style>
  <w:style w:styleId="BodyText" w:type="paragraph">
    <w:name w:val="Body Text"/>
    <w:basedOn w:val="Normal"/>
    <w:uiPriority w:val="1"/>
    <w:qFormat/>
    <w:pPr/>
    <w:rPr>
      <w:rFonts w:ascii="Century Gothic" w:hAnsi="Century Gothic" w:eastAsia="Century Gothic" w:cs="Century Gothic"/>
      <w:sz w:val="16"/>
      <w:szCs w:val="16"/>
    </w:rPr>
  </w:style>
  <w:style w:styleId="Heading1" w:type="paragraph">
    <w:name w:val="Heading 1"/>
    <w:basedOn w:val="Normal"/>
    <w:uiPriority w:val="1"/>
    <w:qFormat/>
    <w:pPr>
      <w:ind w:left="145"/>
      <w:outlineLvl w:val="1"/>
    </w:pPr>
    <w:rPr>
      <w:rFonts w:ascii="Century Gothic" w:hAnsi="Century Gothic" w:eastAsia="Century Gothic" w:cs="Century Gothic"/>
      <w:b/>
      <w:bCs/>
      <w:i/>
      <w:sz w:val="22"/>
      <w:szCs w:val="22"/>
    </w:rPr>
  </w:style>
  <w:style w:styleId="Heading2" w:type="paragraph">
    <w:name w:val="Heading 2"/>
    <w:basedOn w:val="Normal"/>
    <w:uiPriority w:val="1"/>
    <w:qFormat/>
    <w:pPr>
      <w:ind w:left="894" w:hanging="720"/>
      <w:outlineLvl w:val="2"/>
    </w:pPr>
    <w:rPr>
      <w:rFonts w:ascii="Century Gothic" w:hAnsi="Century Gothic" w:eastAsia="Century Gothic" w:cs="Century Gothic"/>
      <w:b/>
      <w:bCs/>
      <w:sz w:val="20"/>
      <w:szCs w:val="20"/>
    </w:rPr>
  </w:style>
  <w:style w:styleId="ListParagraph" w:type="paragraph">
    <w:name w:val="List Paragraph"/>
    <w:basedOn w:val="Normal"/>
    <w:uiPriority w:val="1"/>
    <w:qFormat/>
    <w:pPr>
      <w:ind w:left="865" w:hanging="720"/>
    </w:pPr>
    <w:rPr>
      <w:rFonts w:ascii="Century Gothic" w:hAnsi="Century Gothic" w:eastAsia="Century Gothic" w:cs="Century Gothic"/>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2018-07-19T19:36:52Z</dcterms:created>
  <dcterms:modified xsi:type="dcterms:W3CDTF">2018-07-19T19:36:52Z</dcterms:modified>
</cp:coreProperties>
</file>